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35B" w:rsidRPr="000C238E" w:rsidRDefault="00F7435B" w:rsidP="00FC0969">
      <w:pPr>
        <w:rPr>
          <w:rFonts w:cstheme="minorHAnsi"/>
          <w:b/>
          <w:u w:val="single"/>
        </w:rPr>
      </w:pPr>
      <w:r w:rsidRPr="00AD0E01">
        <w:rPr>
          <w:rFonts w:cstheme="minorHAnsi"/>
          <w:b/>
          <w:sz w:val="28"/>
          <w:szCs w:val="28"/>
          <w:u w:val="single"/>
        </w:rPr>
        <w:t>Statusrapport for tilflyt</w:t>
      </w:r>
      <w:r w:rsidR="002D0846">
        <w:rPr>
          <w:rFonts w:cstheme="minorHAnsi"/>
          <w:b/>
          <w:sz w:val="28"/>
          <w:szCs w:val="28"/>
          <w:u w:val="single"/>
        </w:rPr>
        <w:t>ning</w:t>
      </w:r>
      <w:r w:rsidR="000C238E">
        <w:rPr>
          <w:rFonts w:cstheme="minorHAnsi"/>
          <w:b/>
          <w:u w:val="single"/>
        </w:rPr>
        <w:br/>
      </w:r>
      <w:r w:rsidR="001D1C0B" w:rsidRPr="00A202D6">
        <w:rPr>
          <w:rFonts w:cstheme="minorHAnsi"/>
          <w:i/>
        </w:rPr>
        <w:t>Periode den 01.10.2018 – 31</w:t>
      </w:r>
      <w:r w:rsidRPr="00A202D6">
        <w:rPr>
          <w:rFonts w:cstheme="minorHAnsi"/>
          <w:i/>
        </w:rPr>
        <w:t>.12.20</w:t>
      </w:r>
      <w:r w:rsidR="00DA7327">
        <w:rPr>
          <w:rFonts w:cstheme="minorHAnsi"/>
          <w:i/>
        </w:rPr>
        <w:t>21</w:t>
      </w:r>
    </w:p>
    <w:p w:rsidR="00694AF1" w:rsidRDefault="00694AF1" w:rsidP="001D1C0B">
      <w:pPr>
        <w:spacing w:after="0" w:line="240" w:lineRule="auto"/>
        <w:rPr>
          <w:rFonts w:eastAsia="Times New Roman" w:cstheme="minorHAnsi"/>
          <w:color w:val="000000"/>
          <w:lang w:eastAsia="da-DK"/>
        </w:rPr>
      </w:pPr>
    </w:p>
    <w:p w:rsidR="00AA79A0" w:rsidRDefault="001D1C0B" w:rsidP="001D1C0B">
      <w:pPr>
        <w:spacing w:after="0" w:line="240" w:lineRule="auto"/>
        <w:rPr>
          <w:rFonts w:eastAsia="Times New Roman" w:cstheme="minorHAnsi"/>
          <w:color w:val="000000"/>
          <w:lang w:eastAsia="da-DK"/>
        </w:rPr>
      </w:pPr>
      <w:r w:rsidRPr="00A202D6">
        <w:rPr>
          <w:rFonts w:eastAsia="Times New Roman" w:cstheme="minorHAnsi"/>
          <w:color w:val="000000"/>
          <w:lang w:eastAsia="da-DK"/>
        </w:rPr>
        <w:t>I tabellerne ses Læsøs befo</w:t>
      </w:r>
      <w:r w:rsidR="008345F1">
        <w:rPr>
          <w:rFonts w:eastAsia="Times New Roman" w:cstheme="minorHAnsi"/>
          <w:color w:val="000000"/>
          <w:lang w:eastAsia="da-DK"/>
        </w:rPr>
        <w:t>lkningstal og den</w:t>
      </w:r>
      <w:r w:rsidR="00DA7327">
        <w:rPr>
          <w:rFonts w:eastAsia="Times New Roman" w:cstheme="minorHAnsi"/>
          <w:color w:val="000000"/>
          <w:lang w:eastAsia="da-DK"/>
        </w:rPr>
        <w:t xml:space="preserve">s udvikling fra </w:t>
      </w:r>
      <w:r w:rsidRPr="00A202D6">
        <w:rPr>
          <w:rFonts w:eastAsia="Times New Roman" w:cstheme="minorHAnsi"/>
          <w:color w:val="000000"/>
          <w:lang w:eastAsia="da-DK"/>
        </w:rPr>
        <w:t xml:space="preserve">2018 </w:t>
      </w:r>
      <w:r w:rsidR="00DA7327">
        <w:rPr>
          <w:rFonts w:eastAsia="Times New Roman" w:cstheme="minorHAnsi"/>
          <w:color w:val="000000"/>
          <w:lang w:eastAsia="da-DK"/>
        </w:rPr>
        <w:t>til 2021</w:t>
      </w:r>
      <w:r w:rsidRPr="00A202D6">
        <w:rPr>
          <w:rFonts w:eastAsia="Times New Roman" w:cstheme="minorHAnsi"/>
          <w:color w:val="000000"/>
          <w:lang w:eastAsia="da-DK"/>
        </w:rPr>
        <w:t xml:space="preserve">. </w:t>
      </w:r>
      <w:r w:rsidR="008345F1">
        <w:rPr>
          <w:rFonts w:eastAsia="Times New Roman" w:cstheme="minorHAnsi"/>
          <w:color w:val="000000"/>
          <w:lang w:eastAsia="da-DK"/>
        </w:rPr>
        <w:t xml:space="preserve">Det er derfor </w:t>
      </w:r>
      <w:r w:rsidRPr="00A202D6">
        <w:rPr>
          <w:rFonts w:eastAsia="Times New Roman" w:cstheme="minorHAnsi"/>
          <w:color w:val="000000"/>
          <w:lang w:eastAsia="da-DK"/>
        </w:rPr>
        <w:t>mulig</w:t>
      </w:r>
      <w:r w:rsidR="008345F1">
        <w:rPr>
          <w:rFonts w:eastAsia="Times New Roman" w:cstheme="minorHAnsi"/>
          <w:color w:val="000000"/>
          <w:lang w:eastAsia="da-DK"/>
        </w:rPr>
        <w:t>t</w:t>
      </w:r>
      <w:r w:rsidRPr="00A202D6">
        <w:rPr>
          <w:rFonts w:eastAsia="Times New Roman" w:cstheme="minorHAnsi"/>
          <w:color w:val="000000"/>
          <w:lang w:eastAsia="da-DK"/>
        </w:rPr>
        <w:t xml:space="preserve"> for at sammenlign</w:t>
      </w:r>
      <w:r w:rsidR="008345F1">
        <w:rPr>
          <w:rFonts w:eastAsia="Times New Roman" w:cstheme="minorHAnsi"/>
          <w:color w:val="000000"/>
          <w:lang w:eastAsia="da-DK"/>
        </w:rPr>
        <w:t>e månederne og forløbet. B</w:t>
      </w:r>
      <w:r w:rsidRPr="00A202D6">
        <w:rPr>
          <w:rFonts w:eastAsia="Times New Roman" w:cstheme="minorHAnsi"/>
          <w:color w:val="000000"/>
          <w:lang w:eastAsia="da-DK"/>
        </w:rPr>
        <w:t>ruttotilgang</w:t>
      </w:r>
      <w:r w:rsidR="008345F1">
        <w:rPr>
          <w:rFonts w:eastAsia="Times New Roman" w:cstheme="minorHAnsi"/>
          <w:color w:val="000000"/>
          <w:lang w:eastAsia="da-DK"/>
        </w:rPr>
        <w:t>en</w:t>
      </w:r>
      <w:r w:rsidRPr="00A202D6">
        <w:rPr>
          <w:rFonts w:eastAsia="Times New Roman" w:cstheme="minorHAnsi"/>
          <w:color w:val="000000"/>
          <w:lang w:eastAsia="da-DK"/>
        </w:rPr>
        <w:t xml:space="preserve"> </w:t>
      </w:r>
      <w:r w:rsidR="00A4693D">
        <w:rPr>
          <w:rFonts w:eastAsia="Times New Roman" w:cstheme="minorHAnsi"/>
          <w:color w:val="000000"/>
          <w:lang w:eastAsia="da-DK"/>
        </w:rPr>
        <w:t xml:space="preserve">er </w:t>
      </w:r>
      <w:r w:rsidRPr="00A202D6">
        <w:rPr>
          <w:rFonts w:eastAsia="Times New Roman" w:cstheme="minorHAnsi"/>
          <w:color w:val="000000"/>
          <w:lang w:eastAsia="da-DK"/>
        </w:rPr>
        <w:t xml:space="preserve">stadig i plus. </w:t>
      </w:r>
    </w:p>
    <w:p w:rsidR="00AA79A0" w:rsidRDefault="000C238E" w:rsidP="001D1C0B">
      <w:pPr>
        <w:spacing w:after="0" w:line="240" w:lineRule="auto"/>
        <w:rPr>
          <w:rFonts w:eastAsia="Times New Roman" w:cstheme="minorHAnsi"/>
          <w:color w:val="000000"/>
          <w:lang w:eastAsia="da-DK"/>
        </w:rPr>
      </w:pPr>
      <w:r>
        <w:rPr>
          <w:rFonts w:eastAsia="Times New Roman" w:cstheme="minorHAnsi"/>
          <w:color w:val="000000"/>
          <w:lang w:eastAsia="da-DK"/>
        </w:rPr>
        <w:t xml:space="preserve">Hvis man kun ser på differencen mellem </w:t>
      </w:r>
      <w:r w:rsidR="00DA7327">
        <w:rPr>
          <w:rFonts w:eastAsia="Times New Roman" w:cstheme="minorHAnsi"/>
          <w:color w:val="000000"/>
          <w:lang w:eastAsia="da-DK"/>
        </w:rPr>
        <w:t>tilflyttere og fraflyttere i 2021</w:t>
      </w:r>
      <w:r>
        <w:rPr>
          <w:rFonts w:eastAsia="Times New Roman" w:cstheme="minorHAnsi"/>
          <w:color w:val="000000"/>
          <w:lang w:eastAsia="da-DK"/>
        </w:rPr>
        <w:t xml:space="preserve"> og ser bort fra nyfødte og dødsfald, så har L</w:t>
      </w:r>
      <w:r w:rsidR="008D355F">
        <w:rPr>
          <w:rFonts w:eastAsia="Times New Roman" w:cstheme="minorHAnsi"/>
          <w:color w:val="000000"/>
          <w:lang w:eastAsia="da-DK"/>
        </w:rPr>
        <w:t>æsø kommune haft en</w:t>
      </w:r>
      <w:bookmarkStart w:id="0" w:name="_GoBack"/>
      <w:bookmarkEnd w:id="0"/>
      <w:r w:rsidR="008D355F">
        <w:rPr>
          <w:rFonts w:eastAsia="Times New Roman" w:cstheme="minorHAnsi"/>
          <w:color w:val="000000"/>
          <w:lang w:eastAsia="da-DK"/>
        </w:rPr>
        <w:t xml:space="preserve"> tilgang på 33 personer i 2021</w:t>
      </w:r>
      <w:r>
        <w:rPr>
          <w:rFonts w:eastAsia="Times New Roman" w:cstheme="minorHAnsi"/>
          <w:color w:val="000000"/>
          <w:lang w:eastAsia="da-DK"/>
        </w:rPr>
        <w:t xml:space="preserve">. </w:t>
      </w:r>
    </w:p>
    <w:p w:rsidR="00E50844" w:rsidRDefault="00E50844" w:rsidP="001D1C0B">
      <w:pPr>
        <w:spacing w:after="0" w:line="240" w:lineRule="auto"/>
        <w:rPr>
          <w:rFonts w:eastAsia="Times New Roman" w:cstheme="minorHAnsi"/>
          <w:color w:val="000000"/>
          <w:lang w:eastAsia="da-DK"/>
        </w:rPr>
      </w:pPr>
    </w:p>
    <w:p w:rsidR="00E50844" w:rsidRDefault="00E50844" w:rsidP="00E50844">
      <w:pPr>
        <w:spacing w:after="0" w:line="240" w:lineRule="auto"/>
        <w:rPr>
          <w:rFonts w:eastAsia="Times New Roman" w:cstheme="minorHAnsi"/>
          <w:color w:val="000000"/>
          <w:lang w:eastAsia="da-DK"/>
        </w:rPr>
      </w:pPr>
      <w:r w:rsidRPr="000C238E">
        <w:rPr>
          <w:rFonts w:eastAsia="Times New Roman" w:cstheme="minorHAnsi"/>
          <w:color w:val="000000"/>
          <w:lang w:eastAsia="da-DK"/>
        </w:rPr>
        <w:t>Befolkningstallet for 20</w:t>
      </w:r>
      <w:r>
        <w:rPr>
          <w:rFonts w:eastAsia="Times New Roman" w:cstheme="minorHAnsi"/>
          <w:color w:val="000000"/>
          <w:lang w:eastAsia="da-DK"/>
        </w:rPr>
        <w:t>21</w:t>
      </w:r>
      <w:r w:rsidRPr="000C238E">
        <w:rPr>
          <w:rFonts w:eastAsia="Times New Roman" w:cstheme="minorHAnsi"/>
          <w:color w:val="000000"/>
          <w:lang w:eastAsia="da-DK"/>
        </w:rPr>
        <w:t xml:space="preserve"> er desværre </w:t>
      </w:r>
      <w:r>
        <w:rPr>
          <w:rFonts w:eastAsia="Times New Roman" w:cstheme="minorHAnsi"/>
          <w:color w:val="000000"/>
          <w:lang w:eastAsia="da-DK"/>
        </w:rPr>
        <w:t>stadig dalen</w:t>
      </w:r>
      <w:r w:rsidR="008345F1">
        <w:rPr>
          <w:rFonts w:eastAsia="Times New Roman" w:cstheme="minorHAnsi"/>
          <w:color w:val="000000"/>
          <w:lang w:eastAsia="da-DK"/>
        </w:rPr>
        <w:t>d</w:t>
      </w:r>
      <w:r>
        <w:rPr>
          <w:rFonts w:eastAsia="Times New Roman" w:cstheme="minorHAnsi"/>
          <w:color w:val="000000"/>
          <w:lang w:eastAsia="da-DK"/>
        </w:rPr>
        <w:t>e. Dette skyldes bl.a. den høje gennemsnitsalder og den store difference mellem fødsler og dødsfald. I det efterfølgende vil der ses nærmere på Læsøs udvikling og udfordringer, ved at gennemgå forskellige nøgletal.</w:t>
      </w:r>
    </w:p>
    <w:p w:rsidR="000C238E" w:rsidRDefault="000C238E" w:rsidP="001D1C0B">
      <w:pPr>
        <w:spacing w:after="0" w:line="240" w:lineRule="auto"/>
        <w:rPr>
          <w:rFonts w:eastAsia="Times New Roman" w:cstheme="minorHAnsi"/>
          <w:color w:val="000000"/>
          <w:lang w:eastAsia="da-DK"/>
        </w:rPr>
      </w:pPr>
    </w:p>
    <w:p w:rsidR="000C238E" w:rsidRDefault="001D1C0B" w:rsidP="000C238E">
      <w:pPr>
        <w:spacing w:after="0" w:line="240" w:lineRule="auto"/>
        <w:rPr>
          <w:rFonts w:eastAsia="Times New Roman" w:cstheme="minorHAnsi"/>
          <w:color w:val="000000"/>
          <w:lang w:eastAsia="da-DK"/>
        </w:rPr>
      </w:pPr>
      <w:r w:rsidRPr="00F72F96">
        <w:rPr>
          <w:rFonts w:eastAsia="Times New Roman" w:cstheme="minorHAnsi"/>
          <w:color w:val="000000"/>
          <w:lang w:eastAsia="da-DK"/>
        </w:rPr>
        <w:t xml:space="preserve">I </w:t>
      </w:r>
      <w:r w:rsidR="00F72F96" w:rsidRPr="00F72F96">
        <w:rPr>
          <w:rFonts w:eastAsia="Times New Roman" w:cstheme="minorHAnsi"/>
          <w:color w:val="000000"/>
          <w:lang w:eastAsia="da-DK"/>
        </w:rPr>
        <w:t>20</w:t>
      </w:r>
      <w:r w:rsidR="00887BE2">
        <w:rPr>
          <w:rFonts w:eastAsia="Times New Roman" w:cstheme="minorHAnsi"/>
          <w:color w:val="000000"/>
          <w:lang w:eastAsia="da-DK"/>
        </w:rPr>
        <w:t>21</w:t>
      </w:r>
      <w:r w:rsidRPr="00F72F96">
        <w:rPr>
          <w:rFonts w:eastAsia="Times New Roman" w:cstheme="minorHAnsi"/>
          <w:color w:val="000000"/>
          <w:lang w:eastAsia="da-DK"/>
        </w:rPr>
        <w:t xml:space="preserve"> er </w:t>
      </w:r>
      <w:r w:rsidR="008345F1">
        <w:rPr>
          <w:rFonts w:eastAsia="Times New Roman" w:cstheme="minorHAnsi"/>
          <w:color w:val="000000"/>
          <w:lang w:eastAsia="da-DK"/>
        </w:rPr>
        <w:t>der kommet</w:t>
      </w:r>
      <w:r w:rsidR="00887BE2">
        <w:rPr>
          <w:rFonts w:eastAsia="Times New Roman" w:cstheme="minorHAnsi"/>
          <w:color w:val="000000"/>
          <w:lang w:eastAsia="da-DK"/>
        </w:rPr>
        <w:t xml:space="preserve"> 157</w:t>
      </w:r>
      <w:r w:rsidR="00F72F96" w:rsidRPr="00F72F96">
        <w:rPr>
          <w:rFonts w:eastAsia="Times New Roman" w:cstheme="minorHAnsi"/>
          <w:color w:val="000000"/>
          <w:lang w:eastAsia="da-DK"/>
        </w:rPr>
        <w:t xml:space="preserve"> nye borgere, hvoraf </w:t>
      </w:r>
      <w:r w:rsidR="00887BE2">
        <w:rPr>
          <w:rFonts w:eastAsia="Times New Roman" w:cstheme="minorHAnsi"/>
          <w:color w:val="000000"/>
          <w:lang w:eastAsia="da-DK"/>
        </w:rPr>
        <w:t>11</w:t>
      </w:r>
      <w:r w:rsidR="00AA79A0" w:rsidRPr="00F72F96">
        <w:rPr>
          <w:rFonts w:eastAsia="Times New Roman" w:cstheme="minorHAnsi"/>
          <w:color w:val="000000"/>
          <w:lang w:eastAsia="da-DK"/>
        </w:rPr>
        <w:t xml:space="preserve"> personer</w:t>
      </w:r>
      <w:r w:rsidRPr="00F72F96">
        <w:rPr>
          <w:rFonts w:eastAsia="Times New Roman" w:cstheme="minorHAnsi"/>
          <w:color w:val="000000"/>
          <w:lang w:eastAsia="da-DK"/>
        </w:rPr>
        <w:t xml:space="preserve"> er nyfødte dvs.</w:t>
      </w:r>
      <w:r w:rsidR="00AA79A0" w:rsidRPr="00F72F96">
        <w:rPr>
          <w:rFonts w:eastAsia="Times New Roman" w:cstheme="minorHAnsi"/>
          <w:color w:val="000000"/>
          <w:lang w:eastAsia="da-DK"/>
        </w:rPr>
        <w:t xml:space="preserve"> en tilflytning på 1</w:t>
      </w:r>
      <w:r w:rsidR="00887BE2">
        <w:rPr>
          <w:rFonts w:eastAsia="Times New Roman" w:cstheme="minorHAnsi"/>
          <w:color w:val="000000"/>
          <w:lang w:eastAsia="da-DK"/>
        </w:rPr>
        <w:t>46</w:t>
      </w:r>
      <w:r w:rsidR="00AA79A0" w:rsidRPr="00F72F96">
        <w:rPr>
          <w:rFonts w:eastAsia="Times New Roman" w:cstheme="minorHAnsi"/>
          <w:color w:val="000000"/>
          <w:lang w:eastAsia="da-DK"/>
        </w:rPr>
        <w:t xml:space="preserve"> personer.</w:t>
      </w:r>
      <w:r w:rsidR="000C238E" w:rsidRPr="000C238E">
        <w:rPr>
          <w:rFonts w:eastAsia="Times New Roman" w:cstheme="minorHAnsi"/>
          <w:color w:val="000000"/>
          <w:lang w:eastAsia="da-DK"/>
        </w:rPr>
        <w:t xml:space="preserve"> </w:t>
      </w:r>
      <w:r w:rsidR="000C238E">
        <w:rPr>
          <w:rFonts w:eastAsia="Times New Roman" w:cstheme="minorHAnsi"/>
          <w:color w:val="000000"/>
          <w:lang w:eastAsia="da-DK"/>
        </w:rPr>
        <w:t>Heraf er 1</w:t>
      </w:r>
      <w:r w:rsidR="00887BE2">
        <w:rPr>
          <w:rFonts w:eastAsia="Times New Roman" w:cstheme="minorHAnsi"/>
          <w:color w:val="000000"/>
          <w:lang w:eastAsia="da-DK"/>
        </w:rPr>
        <w:t>4</w:t>
      </w:r>
      <w:r w:rsidR="000C238E">
        <w:rPr>
          <w:rFonts w:eastAsia="Times New Roman" w:cstheme="minorHAnsi"/>
          <w:color w:val="000000"/>
          <w:lang w:eastAsia="da-DK"/>
        </w:rPr>
        <w:t xml:space="preserve"> personer under 16 år og </w:t>
      </w:r>
      <w:r w:rsidR="00887BE2">
        <w:rPr>
          <w:rFonts w:eastAsia="Times New Roman" w:cstheme="minorHAnsi"/>
          <w:color w:val="000000"/>
          <w:lang w:eastAsia="da-DK"/>
        </w:rPr>
        <w:t>105</w:t>
      </w:r>
      <w:r w:rsidR="000C238E">
        <w:rPr>
          <w:rFonts w:eastAsia="Times New Roman" w:cstheme="minorHAnsi"/>
          <w:color w:val="000000"/>
          <w:lang w:eastAsia="da-DK"/>
        </w:rPr>
        <w:t xml:space="preserve"> </w:t>
      </w:r>
      <w:r w:rsidR="00402D41">
        <w:rPr>
          <w:rFonts w:eastAsia="Times New Roman" w:cstheme="minorHAnsi"/>
          <w:color w:val="000000"/>
          <w:lang w:eastAsia="da-DK"/>
        </w:rPr>
        <w:t xml:space="preserve">personer </w:t>
      </w:r>
      <w:r w:rsidR="007953A1">
        <w:rPr>
          <w:rFonts w:eastAsia="Times New Roman" w:cstheme="minorHAnsi"/>
          <w:color w:val="000000"/>
          <w:lang w:eastAsia="da-DK"/>
        </w:rPr>
        <w:t>under 65 år, resten er over 65 år og som regel på pension.</w:t>
      </w:r>
    </w:p>
    <w:p w:rsidR="00AA79A0" w:rsidRPr="00F72F96" w:rsidRDefault="00AA79A0" w:rsidP="001D1C0B">
      <w:pPr>
        <w:spacing w:after="0" w:line="240" w:lineRule="auto"/>
        <w:rPr>
          <w:rFonts w:eastAsia="Times New Roman" w:cstheme="minorHAnsi"/>
          <w:color w:val="000000"/>
          <w:lang w:eastAsia="da-DK"/>
        </w:rPr>
      </w:pPr>
      <w:r w:rsidRPr="00F72F96">
        <w:rPr>
          <w:rFonts w:eastAsia="Times New Roman" w:cstheme="minorHAnsi"/>
          <w:color w:val="000000"/>
          <w:lang w:eastAsia="da-DK"/>
        </w:rPr>
        <w:t xml:space="preserve">I 2018 var der </w:t>
      </w:r>
      <w:r w:rsidR="00F72F96" w:rsidRPr="00F72F96">
        <w:rPr>
          <w:rFonts w:eastAsia="Times New Roman" w:cstheme="minorHAnsi"/>
          <w:color w:val="000000"/>
          <w:lang w:eastAsia="da-DK"/>
        </w:rPr>
        <w:t>en tilgang på 114</w:t>
      </w:r>
      <w:r w:rsidRPr="00F72F96">
        <w:rPr>
          <w:rFonts w:eastAsia="Times New Roman" w:cstheme="minorHAnsi"/>
          <w:color w:val="000000"/>
          <w:lang w:eastAsia="da-DK"/>
        </w:rPr>
        <w:t xml:space="preserve"> nye borgere, hvoraf 7 personer var nyfødte dvs. en tilflytning på 10</w:t>
      </w:r>
      <w:r w:rsidR="00F72F96" w:rsidRPr="00F72F96">
        <w:rPr>
          <w:rFonts w:eastAsia="Times New Roman" w:cstheme="minorHAnsi"/>
          <w:color w:val="000000"/>
          <w:lang w:eastAsia="da-DK"/>
        </w:rPr>
        <w:t>7</w:t>
      </w:r>
      <w:r w:rsidRPr="00F72F96">
        <w:rPr>
          <w:rFonts w:eastAsia="Times New Roman" w:cstheme="minorHAnsi"/>
          <w:color w:val="000000"/>
          <w:lang w:eastAsia="da-DK"/>
        </w:rPr>
        <w:t xml:space="preserve"> personer.</w:t>
      </w:r>
      <w:r w:rsidR="001D1C0B" w:rsidRPr="00F72F96">
        <w:rPr>
          <w:rFonts w:eastAsia="Times New Roman" w:cstheme="minorHAnsi"/>
          <w:color w:val="000000"/>
          <w:lang w:eastAsia="da-DK"/>
        </w:rPr>
        <w:t xml:space="preserve"> </w:t>
      </w:r>
      <w:r w:rsidR="008345F1">
        <w:rPr>
          <w:rFonts w:eastAsia="Times New Roman" w:cstheme="minorHAnsi"/>
          <w:color w:val="000000"/>
          <w:lang w:eastAsia="da-DK"/>
        </w:rPr>
        <w:t>Hvert år er netto</w:t>
      </w:r>
      <w:r w:rsidR="007953A1">
        <w:rPr>
          <w:rFonts w:eastAsia="Times New Roman" w:cstheme="minorHAnsi"/>
          <w:color w:val="000000"/>
          <w:lang w:eastAsia="da-DK"/>
        </w:rPr>
        <w:t>t</w:t>
      </w:r>
      <w:r w:rsidR="008345F1">
        <w:rPr>
          <w:rFonts w:eastAsia="Times New Roman" w:cstheme="minorHAnsi"/>
          <w:color w:val="000000"/>
          <w:lang w:eastAsia="da-DK"/>
        </w:rPr>
        <w:t>ilgangen</w:t>
      </w:r>
      <w:r w:rsidR="007953A1">
        <w:rPr>
          <w:rFonts w:eastAsia="Times New Roman" w:cstheme="minorHAnsi"/>
          <w:color w:val="000000"/>
          <w:lang w:eastAsia="da-DK"/>
        </w:rPr>
        <w:t xml:space="preserve"> steget.</w:t>
      </w:r>
    </w:p>
    <w:p w:rsidR="000C238E" w:rsidRPr="000C238E" w:rsidRDefault="000C238E" w:rsidP="001D1C0B">
      <w:pPr>
        <w:spacing w:after="0" w:line="240" w:lineRule="auto"/>
        <w:rPr>
          <w:rFonts w:eastAsia="Times New Roman" w:cstheme="minorHAnsi"/>
          <w:color w:val="000000"/>
          <w:lang w:eastAsia="da-DK"/>
        </w:rPr>
      </w:pPr>
    </w:p>
    <w:p w:rsidR="00AA79A0" w:rsidRPr="00E50844" w:rsidRDefault="00A4601A" w:rsidP="001D1C0B">
      <w:pPr>
        <w:spacing w:after="0" w:line="240" w:lineRule="auto"/>
        <w:rPr>
          <w:rFonts w:eastAsia="Times New Roman" w:cstheme="minorHAnsi"/>
          <w:color w:val="000000"/>
          <w:lang w:eastAsia="da-DK"/>
        </w:rPr>
      </w:pPr>
      <w:r w:rsidRPr="00F72F96">
        <w:rPr>
          <w:rFonts w:eastAsia="Times New Roman" w:cstheme="minorHAnsi"/>
          <w:color w:val="000000"/>
          <w:lang w:eastAsia="da-DK"/>
        </w:rPr>
        <w:t>F</w:t>
      </w:r>
      <w:r w:rsidR="001D1C0B" w:rsidRPr="00F72F96">
        <w:rPr>
          <w:rFonts w:eastAsia="Times New Roman" w:cstheme="minorHAnsi"/>
          <w:color w:val="000000"/>
          <w:lang w:eastAsia="da-DK"/>
        </w:rPr>
        <w:t xml:space="preserve">raflytningen </w:t>
      </w:r>
      <w:r w:rsidRPr="00F72F96">
        <w:rPr>
          <w:rFonts w:eastAsia="Times New Roman" w:cstheme="minorHAnsi"/>
          <w:color w:val="000000"/>
          <w:lang w:eastAsia="da-DK"/>
        </w:rPr>
        <w:t>udgør</w:t>
      </w:r>
      <w:r w:rsidR="00F72F96" w:rsidRPr="00F72F96">
        <w:rPr>
          <w:rFonts w:eastAsia="Times New Roman" w:cstheme="minorHAnsi"/>
          <w:color w:val="000000"/>
          <w:lang w:eastAsia="da-DK"/>
        </w:rPr>
        <w:t xml:space="preserve"> i alt 1</w:t>
      </w:r>
      <w:r w:rsidR="00887BE2">
        <w:rPr>
          <w:rFonts w:eastAsia="Times New Roman" w:cstheme="minorHAnsi"/>
          <w:color w:val="000000"/>
          <w:lang w:eastAsia="da-DK"/>
        </w:rPr>
        <w:t>13</w:t>
      </w:r>
      <w:r w:rsidR="001D1C0B" w:rsidRPr="00F72F96">
        <w:rPr>
          <w:rFonts w:eastAsia="Times New Roman" w:cstheme="minorHAnsi"/>
          <w:color w:val="000000"/>
          <w:lang w:eastAsia="da-DK"/>
        </w:rPr>
        <w:t xml:space="preserve"> borgere i </w:t>
      </w:r>
      <w:r w:rsidR="00F72F96" w:rsidRPr="00F72F96">
        <w:rPr>
          <w:rFonts w:eastAsia="Times New Roman" w:cstheme="minorHAnsi"/>
          <w:color w:val="000000"/>
          <w:lang w:eastAsia="da-DK"/>
        </w:rPr>
        <w:t>20</w:t>
      </w:r>
      <w:r w:rsidR="00887BE2">
        <w:rPr>
          <w:rFonts w:eastAsia="Times New Roman" w:cstheme="minorHAnsi"/>
          <w:color w:val="000000"/>
          <w:lang w:eastAsia="da-DK"/>
        </w:rPr>
        <w:t>2</w:t>
      </w:r>
      <w:r w:rsidR="00F72F96" w:rsidRPr="00F72F96">
        <w:rPr>
          <w:rFonts w:eastAsia="Times New Roman" w:cstheme="minorHAnsi"/>
          <w:color w:val="000000"/>
          <w:lang w:eastAsia="da-DK"/>
        </w:rPr>
        <w:t>1, hvilket er 10 personer</w:t>
      </w:r>
      <w:r w:rsidR="001D1C0B" w:rsidRPr="00F72F96">
        <w:rPr>
          <w:rFonts w:eastAsia="Times New Roman" w:cstheme="minorHAnsi"/>
          <w:color w:val="000000"/>
          <w:lang w:eastAsia="da-DK"/>
        </w:rPr>
        <w:t xml:space="preserve"> m</w:t>
      </w:r>
      <w:r w:rsidR="00887BE2">
        <w:rPr>
          <w:rFonts w:eastAsia="Times New Roman" w:cstheme="minorHAnsi"/>
          <w:color w:val="000000"/>
          <w:lang w:eastAsia="da-DK"/>
        </w:rPr>
        <w:t>indre</w:t>
      </w:r>
      <w:r w:rsidR="001D1C0B" w:rsidRPr="00F72F96">
        <w:rPr>
          <w:rFonts w:eastAsia="Times New Roman" w:cstheme="minorHAnsi"/>
          <w:color w:val="000000"/>
          <w:lang w:eastAsia="da-DK"/>
        </w:rPr>
        <w:t xml:space="preserve"> end </w:t>
      </w:r>
      <w:r w:rsidR="00887BE2">
        <w:rPr>
          <w:rFonts w:eastAsia="Times New Roman" w:cstheme="minorHAnsi"/>
          <w:color w:val="000000"/>
          <w:lang w:eastAsia="da-DK"/>
        </w:rPr>
        <w:t>i 2020</w:t>
      </w:r>
      <w:r w:rsidR="00F72F96" w:rsidRPr="00F72F96">
        <w:rPr>
          <w:rFonts w:eastAsia="Times New Roman" w:cstheme="minorHAnsi"/>
          <w:color w:val="000000"/>
          <w:lang w:eastAsia="da-DK"/>
        </w:rPr>
        <w:t>.</w:t>
      </w:r>
      <w:r w:rsidR="001D1C0B" w:rsidRPr="00F72F96">
        <w:rPr>
          <w:rFonts w:eastAsia="Times New Roman" w:cstheme="minorHAnsi"/>
          <w:color w:val="000000"/>
          <w:lang w:eastAsia="da-DK"/>
        </w:rPr>
        <w:t xml:space="preserve"> </w:t>
      </w:r>
      <w:r w:rsidR="000C238E">
        <w:rPr>
          <w:rFonts w:eastAsia="Times New Roman" w:cstheme="minorHAnsi"/>
          <w:color w:val="000000"/>
          <w:lang w:eastAsia="da-DK"/>
        </w:rPr>
        <w:t>Årsagerne</w:t>
      </w:r>
      <w:r w:rsidR="007953A1">
        <w:rPr>
          <w:rFonts w:eastAsia="Times New Roman" w:cstheme="minorHAnsi"/>
          <w:color w:val="000000"/>
          <w:lang w:eastAsia="da-DK"/>
        </w:rPr>
        <w:t xml:space="preserve"> til at folk flytter har bl.a. været</w:t>
      </w:r>
      <w:r w:rsidR="000C238E">
        <w:rPr>
          <w:rFonts w:eastAsia="Times New Roman" w:cstheme="minorHAnsi"/>
          <w:color w:val="000000"/>
          <w:lang w:eastAsia="da-DK"/>
        </w:rPr>
        <w:t>,</w:t>
      </w:r>
      <w:r w:rsidR="000C238E" w:rsidRPr="00F30437">
        <w:rPr>
          <w:rFonts w:eastAsia="Times New Roman" w:cstheme="minorHAnsi"/>
          <w:b/>
          <w:color w:val="000000"/>
          <w:lang w:eastAsia="da-DK"/>
        </w:rPr>
        <w:t xml:space="preserve"> </w:t>
      </w:r>
      <w:r w:rsidR="000C238E" w:rsidRPr="00A202D6">
        <w:rPr>
          <w:rFonts w:eastAsia="Times New Roman" w:cstheme="minorHAnsi"/>
          <w:color w:val="000000"/>
          <w:lang w:eastAsia="da-DK"/>
        </w:rPr>
        <w:t>at man ikke har kunnet sælge sit hus på fastlandet, videreuddannelse og skilsmisser, hvor børnene er flyttet med. </w:t>
      </w:r>
    </w:p>
    <w:p w:rsidR="00E50844" w:rsidRDefault="00E50844" w:rsidP="001D1C0B">
      <w:pPr>
        <w:spacing w:after="0" w:line="240" w:lineRule="auto"/>
        <w:rPr>
          <w:rFonts w:eastAsia="Times New Roman" w:cstheme="minorHAnsi"/>
          <w:color w:val="000000"/>
          <w:lang w:eastAsia="da-DK"/>
        </w:rPr>
      </w:pPr>
    </w:p>
    <w:tbl>
      <w:tblPr>
        <w:tblW w:w="6170" w:type="dxa"/>
        <w:tblCellMar>
          <w:left w:w="70" w:type="dxa"/>
          <w:right w:w="70" w:type="dxa"/>
        </w:tblCellMar>
        <w:tblLook w:val="04A0" w:firstRow="1" w:lastRow="0" w:firstColumn="1" w:lastColumn="0" w:noHBand="0" w:noVBand="1"/>
      </w:tblPr>
      <w:tblGrid>
        <w:gridCol w:w="1782"/>
        <w:gridCol w:w="1097"/>
        <w:gridCol w:w="1097"/>
        <w:gridCol w:w="1097"/>
        <w:gridCol w:w="1097"/>
      </w:tblGrid>
      <w:tr w:rsidR="00E50844" w:rsidRPr="00E50844" w:rsidTr="00E50844">
        <w:trPr>
          <w:trHeight w:val="243"/>
        </w:trPr>
        <w:tc>
          <w:tcPr>
            <w:tcW w:w="1782" w:type="dxa"/>
            <w:tcBorders>
              <w:top w:val="single" w:sz="8" w:space="0" w:color="auto"/>
              <w:left w:val="single" w:sz="8" w:space="0" w:color="auto"/>
              <w:bottom w:val="nil"/>
              <w:right w:val="single" w:sz="4" w:space="0" w:color="auto"/>
            </w:tcBorders>
            <w:shd w:val="clear" w:color="auto" w:fill="auto"/>
            <w:noWrap/>
            <w:vAlign w:val="bottom"/>
            <w:hideMark/>
          </w:tcPr>
          <w:p w:rsidR="00E50844" w:rsidRPr="00E50844" w:rsidRDefault="00E50844" w:rsidP="00E50844">
            <w:pPr>
              <w:spacing w:after="0" w:line="240" w:lineRule="auto"/>
              <w:rPr>
                <w:rFonts w:ascii="Arial" w:eastAsia="Times New Roman" w:hAnsi="Arial" w:cs="Arial"/>
                <w:sz w:val="20"/>
                <w:szCs w:val="20"/>
                <w:lang w:eastAsia="da-DK"/>
              </w:rPr>
            </w:pPr>
            <w:r w:rsidRPr="00E50844">
              <w:rPr>
                <w:rFonts w:ascii="Arial" w:eastAsia="Times New Roman" w:hAnsi="Arial" w:cs="Arial"/>
                <w:sz w:val="20"/>
                <w:szCs w:val="20"/>
                <w:lang w:eastAsia="da-DK"/>
              </w:rPr>
              <w:t> </w:t>
            </w:r>
          </w:p>
        </w:tc>
        <w:tc>
          <w:tcPr>
            <w:tcW w:w="1097" w:type="dxa"/>
            <w:tcBorders>
              <w:top w:val="single" w:sz="8" w:space="0" w:color="auto"/>
              <w:left w:val="nil"/>
              <w:bottom w:val="nil"/>
              <w:right w:val="single" w:sz="4" w:space="0" w:color="auto"/>
            </w:tcBorders>
            <w:shd w:val="clear" w:color="auto" w:fill="auto"/>
            <w:noWrap/>
            <w:vAlign w:val="center"/>
            <w:hideMark/>
          </w:tcPr>
          <w:p w:rsidR="00E50844" w:rsidRPr="00E50844" w:rsidRDefault="00E50844" w:rsidP="00E50844">
            <w:pPr>
              <w:spacing w:after="0" w:line="240" w:lineRule="auto"/>
              <w:jc w:val="center"/>
              <w:rPr>
                <w:rFonts w:ascii="Arial" w:eastAsia="Times New Roman" w:hAnsi="Arial" w:cs="Arial"/>
                <w:b/>
                <w:bCs/>
                <w:sz w:val="20"/>
                <w:szCs w:val="20"/>
                <w:lang w:eastAsia="da-DK"/>
              </w:rPr>
            </w:pPr>
            <w:r w:rsidRPr="00E50844">
              <w:rPr>
                <w:rFonts w:ascii="Arial" w:eastAsia="Times New Roman" w:hAnsi="Arial" w:cs="Arial"/>
                <w:b/>
                <w:bCs/>
                <w:sz w:val="20"/>
                <w:szCs w:val="20"/>
                <w:lang w:eastAsia="da-DK"/>
              </w:rPr>
              <w:t>2018</w:t>
            </w:r>
          </w:p>
        </w:tc>
        <w:tc>
          <w:tcPr>
            <w:tcW w:w="1097" w:type="dxa"/>
            <w:tcBorders>
              <w:top w:val="single" w:sz="8" w:space="0" w:color="auto"/>
              <w:left w:val="nil"/>
              <w:bottom w:val="nil"/>
              <w:right w:val="single" w:sz="4" w:space="0" w:color="auto"/>
            </w:tcBorders>
            <w:shd w:val="clear" w:color="auto" w:fill="auto"/>
            <w:noWrap/>
            <w:vAlign w:val="center"/>
            <w:hideMark/>
          </w:tcPr>
          <w:p w:rsidR="00E50844" w:rsidRPr="00E50844" w:rsidRDefault="00E50844" w:rsidP="00E50844">
            <w:pPr>
              <w:spacing w:after="0" w:line="240" w:lineRule="auto"/>
              <w:jc w:val="center"/>
              <w:rPr>
                <w:rFonts w:ascii="Arial" w:eastAsia="Times New Roman" w:hAnsi="Arial" w:cs="Arial"/>
                <w:b/>
                <w:bCs/>
                <w:sz w:val="20"/>
                <w:szCs w:val="20"/>
                <w:lang w:eastAsia="da-DK"/>
              </w:rPr>
            </w:pPr>
            <w:r w:rsidRPr="00E50844">
              <w:rPr>
                <w:rFonts w:ascii="Arial" w:eastAsia="Times New Roman" w:hAnsi="Arial" w:cs="Arial"/>
                <w:b/>
                <w:bCs/>
                <w:sz w:val="20"/>
                <w:szCs w:val="20"/>
                <w:lang w:eastAsia="da-DK"/>
              </w:rPr>
              <w:t>2019</w:t>
            </w:r>
          </w:p>
        </w:tc>
        <w:tc>
          <w:tcPr>
            <w:tcW w:w="1097" w:type="dxa"/>
            <w:tcBorders>
              <w:top w:val="single" w:sz="8" w:space="0" w:color="auto"/>
              <w:left w:val="nil"/>
              <w:bottom w:val="nil"/>
              <w:right w:val="single" w:sz="4" w:space="0" w:color="auto"/>
            </w:tcBorders>
            <w:shd w:val="clear" w:color="auto" w:fill="auto"/>
            <w:noWrap/>
            <w:vAlign w:val="center"/>
            <w:hideMark/>
          </w:tcPr>
          <w:p w:rsidR="00E50844" w:rsidRPr="00E50844" w:rsidRDefault="00E50844" w:rsidP="00E50844">
            <w:pPr>
              <w:spacing w:after="0" w:line="240" w:lineRule="auto"/>
              <w:jc w:val="center"/>
              <w:rPr>
                <w:rFonts w:ascii="Arial" w:eastAsia="Times New Roman" w:hAnsi="Arial" w:cs="Arial"/>
                <w:b/>
                <w:bCs/>
                <w:sz w:val="20"/>
                <w:szCs w:val="20"/>
                <w:lang w:eastAsia="da-DK"/>
              </w:rPr>
            </w:pPr>
            <w:r w:rsidRPr="00E50844">
              <w:rPr>
                <w:rFonts w:ascii="Arial" w:eastAsia="Times New Roman" w:hAnsi="Arial" w:cs="Arial"/>
                <w:b/>
                <w:bCs/>
                <w:sz w:val="20"/>
                <w:szCs w:val="20"/>
                <w:lang w:eastAsia="da-DK"/>
              </w:rPr>
              <w:t>2020</w:t>
            </w:r>
          </w:p>
        </w:tc>
        <w:tc>
          <w:tcPr>
            <w:tcW w:w="1097" w:type="dxa"/>
            <w:tcBorders>
              <w:top w:val="single" w:sz="8" w:space="0" w:color="auto"/>
              <w:left w:val="nil"/>
              <w:bottom w:val="nil"/>
              <w:right w:val="single" w:sz="8" w:space="0" w:color="auto"/>
            </w:tcBorders>
            <w:shd w:val="clear" w:color="auto" w:fill="auto"/>
            <w:noWrap/>
            <w:vAlign w:val="center"/>
            <w:hideMark/>
          </w:tcPr>
          <w:p w:rsidR="00E50844" w:rsidRPr="00E50844" w:rsidRDefault="00E50844" w:rsidP="00E50844">
            <w:pPr>
              <w:spacing w:after="0" w:line="240" w:lineRule="auto"/>
              <w:jc w:val="center"/>
              <w:rPr>
                <w:rFonts w:ascii="Arial" w:eastAsia="Times New Roman" w:hAnsi="Arial" w:cs="Arial"/>
                <w:b/>
                <w:bCs/>
                <w:sz w:val="20"/>
                <w:szCs w:val="20"/>
                <w:lang w:eastAsia="da-DK"/>
              </w:rPr>
            </w:pPr>
            <w:r w:rsidRPr="00E50844">
              <w:rPr>
                <w:rFonts w:ascii="Arial" w:eastAsia="Times New Roman" w:hAnsi="Arial" w:cs="Arial"/>
                <w:b/>
                <w:bCs/>
                <w:sz w:val="20"/>
                <w:szCs w:val="20"/>
                <w:lang w:eastAsia="da-DK"/>
              </w:rPr>
              <w:t>2021</w:t>
            </w:r>
          </w:p>
        </w:tc>
      </w:tr>
      <w:tr w:rsidR="00E50844" w:rsidRPr="00E50844" w:rsidTr="00E50844">
        <w:trPr>
          <w:trHeight w:val="243"/>
        </w:trPr>
        <w:tc>
          <w:tcPr>
            <w:tcW w:w="178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50844" w:rsidRPr="00E50844" w:rsidRDefault="00E50844" w:rsidP="00E50844">
            <w:pPr>
              <w:spacing w:after="0" w:line="240" w:lineRule="auto"/>
              <w:rPr>
                <w:rFonts w:ascii="Arial" w:eastAsia="Times New Roman" w:hAnsi="Arial" w:cs="Arial"/>
                <w:b/>
                <w:bCs/>
                <w:sz w:val="20"/>
                <w:szCs w:val="20"/>
                <w:lang w:eastAsia="da-DK"/>
              </w:rPr>
            </w:pPr>
            <w:r w:rsidRPr="00E50844">
              <w:rPr>
                <w:rFonts w:ascii="Arial" w:eastAsia="Times New Roman" w:hAnsi="Arial" w:cs="Arial"/>
                <w:b/>
                <w:bCs/>
                <w:sz w:val="20"/>
                <w:szCs w:val="20"/>
                <w:lang w:eastAsia="da-DK"/>
              </w:rPr>
              <w:t>Befolkn. primo</w:t>
            </w:r>
          </w:p>
        </w:tc>
        <w:tc>
          <w:tcPr>
            <w:tcW w:w="1097" w:type="dxa"/>
            <w:tcBorders>
              <w:top w:val="single" w:sz="8" w:space="0" w:color="auto"/>
              <w:left w:val="nil"/>
              <w:bottom w:val="single" w:sz="8" w:space="0" w:color="auto"/>
              <w:right w:val="single" w:sz="4"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sz w:val="20"/>
                <w:szCs w:val="20"/>
                <w:lang w:eastAsia="da-DK"/>
              </w:rPr>
            </w:pPr>
            <w:r w:rsidRPr="00E50844">
              <w:rPr>
                <w:rFonts w:ascii="Arial" w:eastAsia="Times New Roman" w:hAnsi="Arial" w:cs="Arial"/>
                <w:sz w:val="20"/>
                <w:szCs w:val="20"/>
                <w:lang w:eastAsia="da-DK"/>
              </w:rPr>
              <w:t>1809</w:t>
            </w:r>
          </w:p>
        </w:tc>
        <w:tc>
          <w:tcPr>
            <w:tcW w:w="1097" w:type="dxa"/>
            <w:tcBorders>
              <w:top w:val="single" w:sz="8" w:space="0" w:color="auto"/>
              <w:left w:val="nil"/>
              <w:bottom w:val="single" w:sz="8" w:space="0" w:color="auto"/>
              <w:right w:val="single" w:sz="4"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sz w:val="20"/>
                <w:szCs w:val="20"/>
                <w:lang w:eastAsia="da-DK"/>
              </w:rPr>
            </w:pPr>
            <w:r w:rsidRPr="00E50844">
              <w:rPr>
                <w:rFonts w:ascii="Arial" w:eastAsia="Times New Roman" w:hAnsi="Arial" w:cs="Arial"/>
                <w:sz w:val="20"/>
                <w:szCs w:val="20"/>
                <w:lang w:eastAsia="da-DK"/>
              </w:rPr>
              <w:t>1804</w:t>
            </w:r>
          </w:p>
        </w:tc>
        <w:tc>
          <w:tcPr>
            <w:tcW w:w="1097" w:type="dxa"/>
            <w:tcBorders>
              <w:top w:val="single" w:sz="8" w:space="0" w:color="auto"/>
              <w:left w:val="nil"/>
              <w:bottom w:val="single" w:sz="8" w:space="0" w:color="auto"/>
              <w:right w:val="single" w:sz="4"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sz w:val="20"/>
                <w:szCs w:val="20"/>
                <w:lang w:eastAsia="da-DK"/>
              </w:rPr>
            </w:pPr>
            <w:r w:rsidRPr="00E50844">
              <w:rPr>
                <w:rFonts w:ascii="Arial" w:eastAsia="Times New Roman" w:hAnsi="Arial" w:cs="Arial"/>
                <w:sz w:val="20"/>
                <w:szCs w:val="20"/>
                <w:lang w:eastAsia="da-DK"/>
              </w:rPr>
              <w:t>1793</w:t>
            </w:r>
          </w:p>
        </w:tc>
        <w:tc>
          <w:tcPr>
            <w:tcW w:w="1097" w:type="dxa"/>
            <w:tcBorders>
              <w:top w:val="single" w:sz="8" w:space="0" w:color="auto"/>
              <w:left w:val="nil"/>
              <w:bottom w:val="single" w:sz="8" w:space="0" w:color="auto"/>
              <w:right w:val="single" w:sz="8"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sz w:val="20"/>
                <w:szCs w:val="20"/>
                <w:lang w:eastAsia="da-DK"/>
              </w:rPr>
            </w:pPr>
            <w:r w:rsidRPr="00E50844">
              <w:rPr>
                <w:rFonts w:ascii="Arial" w:eastAsia="Times New Roman" w:hAnsi="Arial" w:cs="Arial"/>
                <w:sz w:val="20"/>
                <w:szCs w:val="20"/>
                <w:lang w:eastAsia="da-DK"/>
              </w:rPr>
              <w:t>1769</w:t>
            </w:r>
          </w:p>
        </w:tc>
      </w:tr>
      <w:tr w:rsidR="00E50844" w:rsidRPr="00E50844" w:rsidTr="00E50844">
        <w:trPr>
          <w:trHeight w:val="230"/>
        </w:trPr>
        <w:tc>
          <w:tcPr>
            <w:tcW w:w="1782" w:type="dxa"/>
            <w:tcBorders>
              <w:top w:val="nil"/>
              <w:left w:val="single" w:sz="8" w:space="0" w:color="auto"/>
              <w:bottom w:val="single" w:sz="4" w:space="0" w:color="auto"/>
              <w:right w:val="single" w:sz="4" w:space="0" w:color="auto"/>
            </w:tcBorders>
            <w:shd w:val="clear" w:color="auto" w:fill="auto"/>
            <w:noWrap/>
            <w:vAlign w:val="bottom"/>
            <w:hideMark/>
          </w:tcPr>
          <w:p w:rsidR="00E50844" w:rsidRPr="00E50844" w:rsidRDefault="00E50844" w:rsidP="00E50844">
            <w:pPr>
              <w:spacing w:after="0" w:line="240" w:lineRule="auto"/>
              <w:rPr>
                <w:rFonts w:ascii="Arial" w:eastAsia="Times New Roman" w:hAnsi="Arial" w:cs="Arial"/>
                <w:sz w:val="20"/>
                <w:szCs w:val="20"/>
                <w:lang w:eastAsia="da-DK"/>
              </w:rPr>
            </w:pPr>
            <w:r w:rsidRPr="00E50844">
              <w:rPr>
                <w:rFonts w:ascii="Arial" w:eastAsia="Times New Roman" w:hAnsi="Arial" w:cs="Arial"/>
                <w:sz w:val="20"/>
                <w:szCs w:val="20"/>
                <w:lang w:eastAsia="da-DK"/>
              </w:rPr>
              <w:t>Tilflyttere</w:t>
            </w:r>
          </w:p>
        </w:tc>
        <w:tc>
          <w:tcPr>
            <w:tcW w:w="1097" w:type="dxa"/>
            <w:tcBorders>
              <w:top w:val="nil"/>
              <w:left w:val="nil"/>
              <w:bottom w:val="single" w:sz="4" w:space="0" w:color="auto"/>
              <w:right w:val="single" w:sz="4"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sz w:val="20"/>
                <w:szCs w:val="20"/>
                <w:lang w:eastAsia="da-DK"/>
              </w:rPr>
            </w:pPr>
            <w:r w:rsidRPr="00E50844">
              <w:rPr>
                <w:rFonts w:ascii="Arial" w:eastAsia="Times New Roman" w:hAnsi="Arial" w:cs="Arial"/>
                <w:sz w:val="20"/>
                <w:szCs w:val="20"/>
                <w:lang w:eastAsia="da-DK"/>
              </w:rPr>
              <w:t>92</w:t>
            </w:r>
          </w:p>
        </w:tc>
        <w:tc>
          <w:tcPr>
            <w:tcW w:w="1097" w:type="dxa"/>
            <w:tcBorders>
              <w:top w:val="nil"/>
              <w:left w:val="nil"/>
              <w:bottom w:val="single" w:sz="4" w:space="0" w:color="auto"/>
              <w:right w:val="single" w:sz="4"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sz w:val="20"/>
                <w:szCs w:val="20"/>
                <w:lang w:eastAsia="da-DK"/>
              </w:rPr>
            </w:pPr>
            <w:r w:rsidRPr="00E50844">
              <w:rPr>
                <w:rFonts w:ascii="Arial" w:eastAsia="Times New Roman" w:hAnsi="Arial" w:cs="Arial"/>
                <w:sz w:val="20"/>
                <w:szCs w:val="20"/>
                <w:lang w:eastAsia="da-DK"/>
              </w:rPr>
              <w:t>109</w:t>
            </w:r>
          </w:p>
        </w:tc>
        <w:tc>
          <w:tcPr>
            <w:tcW w:w="1097" w:type="dxa"/>
            <w:tcBorders>
              <w:top w:val="nil"/>
              <w:left w:val="nil"/>
              <w:bottom w:val="single" w:sz="4" w:space="0" w:color="auto"/>
              <w:right w:val="single" w:sz="4"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sz w:val="20"/>
                <w:szCs w:val="20"/>
                <w:lang w:eastAsia="da-DK"/>
              </w:rPr>
            </w:pPr>
            <w:r w:rsidRPr="00E50844">
              <w:rPr>
                <w:rFonts w:ascii="Arial" w:eastAsia="Times New Roman" w:hAnsi="Arial" w:cs="Arial"/>
                <w:sz w:val="20"/>
                <w:szCs w:val="20"/>
                <w:lang w:eastAsia="da-DK"/>
              </w:rPr>
              <w:t>105</w:t>
            </w:r>
          </w:p>
        </w:tc>
        <w:tc>
          <w:tcPr>
            <w:tcW w:w="1097" w:type="dxa"/>
            <w:tcBorders>
              <w:top w:val="nil"/>
              <w:left w:val="nil"/>
              <w:bottom w:val="single" w:sz="4" w:space="0" w:color="auto"/>
              <w:right w:val="single" w:sz="8"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sz w:val="20"/>
                <w:szCs w:val="20"/>
                <w:lang w:eastAsia="da-DK"/>
              </w:rPr>
            </w:pPr>
            <w:r w:rsidRPr="00E50844">
              <w:rPr>
                <w:rFonts w:ascii="Arial" w:eastAsia="Times New Roman" w:hAnsi="Arial" w:cs="Arial"/>
                <w:sz w:val="20"/>
                <w:szCs w:val="20"/>
                <w:lang w:eastAsia="da-DK"/>
              </w:rPr>
              <w:t>128</w:t>
            </w:r>
          </w:p>
        </w:tc>
      </w:tr>
      <w:tr w:rsidR="00E50844" w:rsidRPr="00E50844" w:rsidTr="00E50844">
        <w:trPr>
          <w:trHeight w:val="230"/>
        </w:trPr>
        <w:tc>
          <w:tcPr>
            <w:tcW w:w="1782" w:type="dxa"/>
            <w:tcBorders>
              <w:top w:val="nil"/>
              <w:left w:val="single" w:sz="8" w:space="0" w:color="auto"/>
              <w:bottom w:val="single" w:sz="4" w:space="0" w:color="auto"/>
              <w:right w:val="single" w:sz="4" w:space="0" w:color="auto"/>
            </w:tcBorders>
            <w:shd w:val="clear" w:color="auto" w:fill="auto"/>
            <w:noWrap/>
            <w:vAlign w:val="bottom"/>
            <w:hideMark/>
          </w:tcPr>
          <w:p w:rsidR="00E50844" w:rsidRPr="00E50844" w:rsidRDefault="00E50844" w:rsidP="00E50844">
            <w:pPr>
              <w:spacing w:after="0" w:line="240" w:lineRule="auto"/>
              <w:rPr>
                <w:rFonts w:ascii="Arial" w:eastAsia="Times New Roman" w:hAnsi="Arial" w:cs="Arial"/>
                <w:sz w:val="20"/>
                <w:szCs w:val="20"/>
                <w:lang w:eastAsia="da-DK"/>
              </w:rPr>
            </w:pPr>
            <w:r w:rsidRPr="00E50844">
              <w:rPr>
                <w:rFonts w:ascii="Arial" w:eastAsia="Times New Roman" w:hAnsi="Arial" w:cs="Arial"/>
                <w:sz w:val="20"/>
                <w:szCs w:val="20"/>
                <w:lang w:eastAsia="da-DK"/>
              </w:rPr>
              <w:t>Indrejste</w:t>
            </w:r>
          </w:p>
        </w:tc>
        <w:tc>
          <w:tcPr>
            <w:tcW w:w="1097" w:type="dxa"/>
            <w:tcBorders>
              <w:top w:val="nil"/>
              <w:left w:val="nil"/>
              <w:bottom w:val="single" w:sz="4" w:space="0" w:color="auto"/>
              <w:right w:val="single" w:sz="4"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sz w:val="20"/>
                <w:szCs w:val="20"/>
                <w:lang w:eastAsia="da-DK"/>
              </w:rPr>
            </w:pPr>
            <w:r w:rsidRPr="00E50844">
              <w:rPr>
                <w:rFonts w:ascii="Arial" w:eastAsia="Times New Roman" w:hAnsi="Arial" w:cs="Arial"/>
                <w:sz w:val="20"/>
                <w:szCs w:val="20"/>
                <w:lang w:eastAsia="da-DK"/>
              </w:rPr>
              <w:t>15</w:t>
            </w:r>
          </w:p>
        </w:tc>
        <w:tc>
          <w:tcPr>
            <w:tcW w:w="1097" w:type="dxa"/>
            <w:tcBorders>
              <w:top w:val="nil"/>
              <w:left w:val="nil"/>
              <w:bottom w:val="single" w:sz="4" w:space="0" w:color="auto"/>
              <w:right w:val="single" w:sz="4"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sz w:val="20"/>
                <w:szCs w:val="20"/>
                <w:lang w:eastAsia="da-DK"/>
              </w:rPr>
            </w:pPr>
            <w:r w:rsidRPr="00E50844">
              <w:rPr>
                <w:rFonts w:ascii="Arial" w:eastAsia="Times New Roman" w:hAnsi="Arial" w:cs="Arial"/>
                <w:sz w:val="20"/>
                <w:szCs w:val="20"/>
                <w:lang w:eastAsia="da-DK"/>
              </w:rPr>
              <w:t>11</w:t>
            </w:r>
          </w:p>
        </w:tc>
        <w:tc>
          <w:tcPr>
            <w:tcW w:w="1097" w:type="dxa"/>
            <w:tcBorders>
              <w:top w:val="nil"/>
              <w:left w:val="nil"/>
              <w:bottom w:val="single" w:sz="4" w:space="0" w:color="auto"/>
              <w:right w:val="single" w:sz="4"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sz w:val="20"/>
                <w:szCs w:val="20"/>
                <w:lang w:eastAsia="da-DK"/>
              </w:rPr>
            </w:pPr>
            <w:r w:rsidRPr="00E50844">
              <w:rPr>
                <w:rFonts w:ascii="Arial" w:eastAsia="Times New Roman" w:hAnsi="Arial" w:cs="Arial"/>
                <w:sz w:val="20"/>
                <w:szCs w:val="20"/>
                <w:lang w:eastAsia="da-DK"/>
              </w:rPr>
              <w:t>19</w:t>
            </w:r>
          </w:p>
        </w:tc>
        <w:tc>
          <w:tcPr>
            <w:tcW w:w="1097" w:type="dxa"/>
            <w:tcBorders>
              <w:top w:val="nil"/>
              <w:left w:val="nil"/>
              <w:bottom w:val="single" w:sz="4" w:space="0" w:color="auto"/>
              <w:right w:val="single" w:sz="8"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sz w:val="20"/>
                <w:szCs w:val="20"/>
                <w:lang w:eastAsia="da-DK"/>
              </w:rPr>
            </w:pPr>
            <w:r w:rsidRPr="00E50844">
              <w:rPr>
                <w:rFonts w:ascii="Arial" w:eastAsia="Times New Roman" w:hAnsi="Arial" w:cs="Arial"/>
                <w:sz w:val="20"/>
                <w:szCs w:val="20"/>
                <w:lang w:eastAsia="da-DK"/>
              </w:rPr>
              <w:t>18</w:t>
            </w:r>
          </w:p>
        </w:tc>
      </w:tr>
      <w:tr w:rsidR="00E50844" w:rsidRPr="00E50844" w:rsidTr="00E50844">
        <w:trPr>
          <w:trHeight w:val="243"/>
        </w:trPr>
        <w:tc>
          <w:tcPr>
            <w:tcW w:w="1782" w:type="dxa"/>
            <w:tcBorders>
              <w:top w:val="nil"/>
              <w:left w:val="single" w:sz="8" w:space="0" w:color="auto"/>
              <w:bottom w:val="single" w:sz="8" w:space="0" w:color="auto"/>
              <w:right w:val="single" w:sz="4" w:space="0" w:color="auto"/>
            </w:tcBorders>
            <w:shd w:val="clear" w:color="auto" w:fill="auto"/>
            <w:noWrap/>
            <w:vAlign w:val="bottom"/>
            <w:hideMark/>
          </w:tcPr>
          <w:p w:rsidR="00E50844" w:rsidRPr="00E50844" w:rsidRDefault="00E50844" w:rsidP="00E50844">
            <w:pPr>
              <w:spacing w:after="0" w:line="240" w:lineRule="auto"/>
              <w:rPr>
                <w:rFonts w:ascii="Arial" w:eastAsia="Times New Roman" w:hAnsi="Arial" w:cs="Arial"/>
                <w:sz w:val="20"/>
                <w:szCs w:val="20"/>
                <w:lang w:eastAsia="da-DK"/>
              </w:rPr>
            </w:pPr>
            <w:r w:rsidRPr="00E50844">
              <w:rPr>
                <w:rFonts w:ascii="Arial" w:eastAsia="Times New Roman" w:hAnsi="Arial" w:cs="Arial"/>
                <w:sz w:val="20"/>
                <w:szCs w:val="20"/>
                <w:lang w:eastAsia="da-DK"/>
              </w:rPr>
              <w:t>Fødte</w:t>
            </w:r>
          </w:p>
        </w:tc>
        <w:tc>
          <w:tcPr>
            <w:tcW w:w="1097" w:type="dxa"/>
            <w:tcBorders>
              <w:top w:val="nil"/>
              <w:left w:val="nil"/>
              <w:bottom w:val="single" w:sz="8" w:space="0" w:color="auto"/>
              <w:right w:val="single" w:sz="4"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sz w:val="20"/>
                <w:szCs w:val="20"/>
                <w:lang w:eastAsia="da-DK"/>
              </w:rPr>
            </w:pPr>
            <w:r w:rsidRPr="00E50844">
              <w:rPr>
                <w:rFonts w:ascii="Arial" w:eastAsia="Times New Roman" w:hAnsi="Arial" w:cs="Arial"/>
                <w:sz w:val="20"/>
                <w:szCs w:val="20"/>
                <w:lang w:eastAsia="da-DK"/>
              </w:rPr>
              <w:t>7</w:t>
            </w:r>
          </w:p>
        </w:tc>
        <w:tc>
          <w:tcPr>
            <w:tcW w:w="1097" w:type="dxa"/>
            <w:tcBorders>
              <w:top w:val="nil"/>
              <w:left w:val="nil"/>
              <w:bottom w:val="single" w:sz="8" w:space="0" w:color="auto"/>
              <w:right w:val="single" w:sz="4"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sz w:val="20"/>
                <w:szCs w:val="20"/>
                <w:lang w:eastAsia="da-DK"/>
              </w:rPr>
            </w:pPr>
            <w:r w:rsidRPr="00E50844">
              <w:rPr>
                <w:rFonts w:ascii="Arial" w:eastAsia="Times New Roman" w:hAnsi="Arial" w:cs="Arial"/>
                <w:sz w:val="20"/>
                <w:szCs w:val="20"/>
                <w:lang w:eastAsia="da-DK"/>
              </w:rPr>
              <w:t>8</w:t>
            </w:r>
          </w:p>
        </w:tc>
        <w:tc>
          <w:tcPr>
            <w:tcW w:w="1097" w:type="dxa"/>
            <w:tcBorders>
              <w:top w:val="nil"/>
              <w:left w:val="nil"/>
              <w:bottom w:val="single" w:sz="8" w:space="0" w:color="auto"/>
              <w:right w:val="single" w:sz="4"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sz w:val="20"/>
                <w:szCs w:val="20"/>
                <w:lang w:eastAsia="da-DK"/>
              </w:rPr>
            </w:pPr>
            <w:r w:rsidRPr="00E50844">
              <w:rPr>
                <w:rFonts w:ascii="Arial" w:eastAsia="Times New Roman" w:hAnsi="Arial" w:cs="Arial"/>
                <w:sz w:val="20"/>
                <w:szCs w:val="20"/>
                <w:lang w:eastAsia="da-DK"/>
              </w:rPr>
              <w:t>9</w:t>
            </w:r>
          </w:p>
        </w:tc>
        <w:tc>
          <w:tcPr>
            <w:tcW w:w="1097" w:type="dxa"/>
            <w:tcBorders>
              <w:top w:val="nil"/>
              <w:left w:val="nil"/>
              <w:bottom w:val="single" w:sz="8" w:space="0" w:color="auto"/>
              <w:right w:val="single" w:sz="8"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sz w:val="20"/>
                <w:szCs w:val="20"/>
                <w:lang w:eastAsia="da-DK"/>
              </w:rPr>
            </w:pPr>
            <w:r w:rsidRPr="00E50844">
              <w:rPr>
                <w:rFonts w:ascii="Arial" w:eastAsia="Times New Roman" w:hAnsi="Arial" w:cs="Arial"/>
                <w:sz w:val="20"/>
                <w:szCs w:val="20"/>
                <w:lang w:eastAsia="da-DK"/>
              </w:rPr>
              <w:t>11</w:t>
            </w:r>
          </w:p>
        </w:tc>
      </w:tr>
      <w:tr w:rsidR="00E50844" w:rsidRPr="00E50844" w:rsidTr="00E50844">
        <w:trPr>
          <w:trHeight w:val="243"/>
        </w:trPr>
        <w:tc>
          <w:tcPr>
            <w:tcW w:w="1782" w:type="dxa"/>
            <w:tcBorders>
              <w:top w:val="nil"/>
              <w:left w:val="single" w:sz="8" w:space="0" w:color="auto"/>
              <w:bottom w:val="nil"/>
              <w:right w:val="single" w:sz="4" w:space="0" w:color="auto"/>
            </w:tcBorders>
            <w:shd w:val="clear" w:color="auto" w:fill="auto"/>
            <w:noWrap/>
            <w:vAlign w:val="bottom"/>
            <w:hideMark/>
          </w:tcPr>
          <w:p w:rsidR="00E50844" w:rsidRPr="00E50844" w:rsidRDefault="00E50844" w:rsidP="00E50844">
            <w:pPr>
              <w:spacing w:after="0" w:line="240" w:lineRule="auto"/>
              <w:rPr>
                <w:rFonts w:ascii="Arial" w:eastAsia="Times New Roman" w:hAnsi="Arial" w:cs="Arial"/>
                <w:b/>
                <w:bCs/>
                <w:sz w:val="20"/>
                <w:szCs w:val="20"/>
                <w:lang w:eastAsia="da-DK"/>
              </w:rPr>
            </w:pPr>
            <w:r w:rsidRPr="00E50844">
              <w:rPr>
                <w:rFonts w:ascii="Arial" w:eastAsia="Times New Roman" w:hAnsi="Arial" w:cs="Arial"/>
                <w:b/>
                <w:bCs/>
                <w:sz w:val="20"/>
                <w:szCs w:val="20"/>
                <w:lang w:eastAsia="da-DK"/>
              </w:rPr>
              <w:t>Tilgange i alt</w:t>
            </w:r>
          </w:p>
        </w:tc>
        <w:tc>
          <w:tcPr>
            <w:tcW w:w="1097" w:type="dxa"/>
            <w:tcBorders>
              <w:top w:val="nil"/>
              <w:left w:val="nil"/>
              <w:bottom w:val="nil"/>
              <w:right w:val="single" w:sz="4"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b/>
                <w:bCs/>
                <w:sz w:val="20"/>
                <w:szCs w:val="20"/>
                <w:lang w:eastAsia="da-DK"/>
              </w:rPr>
            </w:pPr>
            <w:r w:rsidRPr="00E50844">
              <w:rPr>
                <w:rFonts w:ascii="Arial" w:eastAsia="Times New Roman" w:hAnsi="Arial" w:cs="Arial"/>
                <w:b/>
                <w:bCs/>
                <w:sz w:val="20"/>
                <w:szCs w:val="20"/>
                <w:lang w:eastAsia="da-DK"/>
              </w:rPr>
              <w:t>114</w:t>
            </w:r>
          </w:p>
        </w:tc>
        <w:tc>
          <w:tcPr>
            <w:tcW w:w="1097" w:type="dxa"/>
            <w:tcBorders>
              <w:top w:val="nil"/>
              <w:left w:val="nil"/>
              <w:bottom w:val="nil"/>
              <w:right w:val="single" w:sz="4"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b/>
                <w:bCs/>
                <w:sz w:val="20"/>
                <w:szCs w:val="20"/>
                <w:lang w:eastAsia="da-DK"/>
              </w:rPr>
            </w:pPr>
            <w:r w:rsidRPr="00E50844">
              <w:rPr>
                <w:rFonts w:ascii="Arial" w:eastAsia="Times New Roman" w:hAnsi="Arial" w:cs="Arial"/>
                <w:b/>
                <w:bCs/>
                <w:sz w:val="20"/>
                <w:szCs w:val="20"/>
                <w:lang w:eastAsia="da-DK"/>
              </w:rPr>
              <w:t>128</w:t>
            </w:r>
          </w:p>
        </w:tc>
        <w:tc>
          <w:tcPr>
            <w:tcW w:w="1097" w:type="dxa"/>
            <w:tcBorders>
              <w:top w:val="nil"/>
              <w:left w:val="nil"/>
              <w:bottom w:val="nil"/>
              <w:right w:val="single" w:sz="4"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b/>
                <w:bCs/>
                <w:sz w:val="20"/>
                <w:szCs w:val="20"/>
                <w:lang w:eastAsia="da-DK"/>
              </w:rPr>
            </w:pPr>
            <w:r w:rsidRPr="00E50844">
              <w:rPr>
                <w:rFonts w:ascii="Arial" w:eastAsia="Times New Roman" w:hAnsi="Arial" w:cs="Arial"/>
                <w:b/>
                <w:bCs/>
                <w:sz w:val="20"/>
                <w:szCs w:val="20"/>
                <w:lang w:eastAsia="da-DK"/>
              </w:rPr>
              <w:t>133</w:t>
            </w:r>
          </w:p>
        </w:tc>
        <w:tc>
          <w:tcPr>
            <w:tcW w:w="1097" w:type="dxa"/>
            <w:tcBorders>
              <w:top w:val="nil"/>
              <w:left w:val="nil"/>
              <w:bottom w:val="nil"/>
              <w:right w:val="single" w:sz="8"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b/>
                <w:bCs/>
                <w:sz w:val="20"/>
                <w:szCs w:val="20"/>
                <w:lang w:eastAsia="da-DK"/>
              </w:rPr>
            </w:pPr>
            <w:r w:rsidRPr="00E50844">
              <w:rPr>
                <w:rFonts w:ascii="Arial" w:eastAsia="Times New Roman" w:hAnsi="Arial" w:cs="Arial"/>
                <w:b/>
                <w:bCs/>
                <w:sz w:val="20"/>
                <w:szCs w:val="20"/>
                <w:lang w:eastAsia="da-DK"/>
              </w:rPr>
              <w:t>157</w:t>
            </w:r>
          </w:p>
        </w:tc>
      </w:tr>
      <w:tr w:rsidR="00E50844" w:rsidRPr="00E50844" w:rsidTr="00E50844">
        <w:trPr>
          <w:trHeight w:val="230"/>
        </w:trPr>
        <w:tc>
          <w:tcPr>
            <w:tcW w:w="178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50844" w:rsidRPr="00E50844" w:rsidRDefault="00E50844" w:rsidP="00E50844">
            <w:pPr>
              <w:spacing w:after="0" w:line="240" w:lineRule="auto"/>
              <w:rPr>
                <w:rFonts w:ascii="Arial" w:eastAsia="Times New Roman" w:hAnsi="Arial" w:cs="Arial"/>
                <w:sz w:val="20"/>
                <w:szCs w:val="20"/>
                <w:lang w:eastAsia="da-DK"/>
              </w:rPr>
            </w:pPr>
            <w:r w:rsidRPr="00E50844">
              <w:rPr>
                <w:rFonts w:ascii="Arial" w:eastAsia="Times New Roman" w:hAnsi="Arial" w:cs="Arial"/>
                <w:sz w:val="20"/>
                <w:szCs w:val="20"/>
                <w:lang w:eastAsia="da-DK"/>
              </w:rPr>
              <w:t>Fraflyttere</w:t>
            </w:r>
          </w:p>
        </w:tc>
        <w:tc>
          <w:tcPr>
            <w:tcW w:w="1097" w:type="dxa"/>
            <w:tcBorders>
              <w:top w:val="single" w:sz="8" w:space="0" w:color="auto"/>
              <w:left w:val="nil"/>
              <w:bottom w:val="single" w:sz="4" w:space="0" w:color="auto"/>
              <w:right w:val="single" w:sz="4"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sz w:val="20"/>
                <w:szCs w:val="20"/>
                <w:lang w:eastAsia="da-DK"/>
              </w:rPr>
            </w:pPr>
            <w:r w:rsidRPr="00E50844">
              <w:rPr>
                <w:rFonts w:ascii="Arial" w:eastAsia="Times New Roman" w:hAnsi="Arial" w:cs="Arial"/>
                <w:sz w:val="20"/>
                <w:szCs w:val="20"/>
                <w:lang w:eastAsia="da-DK"/>
              </w:rPr>
              <w:t>-93</w:t>
            </w:r>
          </w:p>
        </w:tc>
        <w:tc>
          <w:tcPr>
            <w:tcW w:w="1097" w:type="dxa"/>
            <w:tcBorders>
              <w:top w:val="single" w:sz="8" w:space="0" w:color="auto"/>
              <w:left w:val="nil"/>
              <w:bottom w:val="single" w:sz="4" w:space="0" w:color="auto"/>
              <w:right w:val="single" w:sz="4"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sz w:val="20"/>
                <w:szCs w:val="20"/>
                <w:lang w:eastAsia="da-DK"/>
              </w:rPr>
            </w:pPr>
            <w:r w:rsidRPr="00E50844">
              <w:rPr>
                <w:rFonts w:ascii="Arial" w:eastAsia="Times New Roman" w:hAnsi="Arial" w:cs="Arial"/>
                <w:sz w:val="20"/>
                <w:szCs w:val="20"/>
                <w:lang w:eastAsia="da-DK"/>
              </w:rPr>
              <w:t>-101</w:t>
            </w:r>
          </w:p>
        </w:tc>
        <w:tc>
          <w:tcPr>
            <w:tcW w:w="1097" w:type="dxa"/>
            <w:tcBorders>
              <w:top w:val="single" w:sz="8" w:space="0" w:color="auto"/>
              <w:left w:val="nil"/>
              <w:bottom w:val="single" w:sz="4" w:space="0" w:color="auto"/>
              <w:right w:val="single" w:sz="4"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sz w:val="20"/>
                <w:szCs w:val="20"/>
                <w:lang w:eastAsia="da-DK"/>
              </w:rPr>
            </w:pPr>
            <w:r w:rsidRPr="00E50844">
              <w:rPr>
                <w:rFonts w:ascii="Arial" w:eastAsia="Times New Roman" w:hAnsi="Arial" w:cs="Arial"/>
                <w:sz w:val="20"/>
                <w:szCs w:val="20"/>
                <w:lang w:eastAsia="da-DK"/>
              </w:rPr>
              <w:t>-116</w:t>
            </w:r>
          </w:p>
        </w:tc>
        <w:tc>
          <w:tcPr>
            <w:tcW w:w="1097" w:type="dxa"/>
            <w:tcBorders>
              <w:top w:val="single" w:sz="8" w:space="0" w:color="auto"/>
              <w:left w:val="nil"/>
              <w:bottom w:val="single" w:sz="4" w:space="0" w:color="auto"/>
              <w:right w:val="single" w:sz="8"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sz w:val="20"/>
                <w:szCs w:val="20"/>
                <w:lang w:eastAsia="da-DK"/>
              </w:rPr>
            </w:pPr>
            <w:r w:rsidRPr="00E50844">
              <w:rPr>
                <w:rFonts w:ascii="Arial" w:eastAsia="Times New Roman" w:hAnsi="Arial" w:cs="Arial"/>
                <w:sz w:val="20"/>
                <w:szCs w:val="20"/>
                <w:lang w:eastAsia="da-DK"/>
              </w:rPr>
              <w:t>-110</w:t>
            </w:r>
          </w:p>
        </w:tc>
      </w:tr>
      <w:tr w:rsidR="00E50844" w:rsidRPr="00E50844" w:rsidTr="00E50844">
        <w:trPr>
          <w:trHeight w:val="230"/>
        </w:trPr>
        <w:tc>
          <w:tcPr>
            <w:tcW w:w="1782" w:type="dxa"/>
            <w:tcBorders>
              <w:top w:val="nil"/>
              <w:left w:val="single" w:sz="8" w:space="0" w:color="auto"/>
              <w:bottom w:val="single" w:sz="4" w:space="0" w:color="auto"/>
              <w:right w:val="single" w:sz="4" w:space="0" w:color="auto"/>
            </w:tcBorders>
            <w:shd w:val="clear" w:color="auto" w:fill="auto"/>
            <w:noWrap/>
            <w:vAlign w:val="bottom"/>
            <w:hideMark/>
          </w:tcPr>
          <w:p w:rsidR="00E50844" w:rsidRPr="00E50844" w:rsidRDefault="00E50844" w:rsidP="00E50844">
            <w:pPr>
              <w:spacing w:after="0" w:line="240" w:lineRule="auto"/>
              <w:rPr>
                <w:rFonts w:ascii="Arial" w:eastAsia="Times New Roman" w:hAnsi="Arial" w:cs="Arial"/>
                <w:sz w:val="20"/>
                <w:szCs w:val="20"/>
                <w:lang w:eastAsia="da-DK"/>
              </w:rPr>
            </w:pPr>
            <w:r w:rsidRPr="00E50844">
              <w:rPr>
                <w:rFonts w:ascii="Arial" w:eastAsia="Times New Roman" w:hAnsi="Arial" w:cs="Arial"/>
                <w:sz w:val="20"/>
                <w:szCs w:val="20"/>
                <w:lang w:eastAsia="da-DK"/>
              </w:rPr>
              <w:t>Udrejste</w:t>
            </w:r>
          </w:p>
        </w:tc>
        <w:tc>
          <w:tcPr>
            <w:tcW w:w="1097" w:type="dxa"/>
            <w:tcBorders>
              <w:top w:val="nil"/>
              <w:left w:val="nil"/>
              <w:bottom w:val="single" w:sz="4" w:space="0" w:color="auto"/>
              <w:right w:val="single" w:sz="4"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sz w:val="20"/>
                <w:szCs w:val="20"/>
                <w:lang w:eastAsia="da-DK"/>
              </w:rPr>
            </w:pPr>
            <w:r w:rsidRPr="00E50844">
              <w:rPr>
                <w:rFonts w:ascii="Arial" w:eastAsia="Times New Roman" w:hAnsi="Arial" w:cs="Arial"/>
                <w:sz w:val="20"/>
                <w:szCs w:val="20"/>
                <w:lang w:eastAsia="da-DK"/>
              </w:rPr>
              <w:t>-6</w:t>
            </w:r>
          </w:p>
        </w:tc>
        <w:tc>
          <w:tcPr>
            <w:tcW w:w="1097" w:type="dxa"/>
            <w:tcBorders>
              <w:top w:val="nil"/>
              <w:left w:val="nil"/>
              <w:bottom w:val="single" w:sz="4" w:space="0" w:color="auto"/>
              <w:right w:val="single" w:sz="4"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sz w:val="20"/>
                <w:szCs w:val="20"/>
                <w:lang w:eastAsia="da-DK"/>
              </w:rPr>
            </w:pPr>
            <w:r w:rsidRPr="00E50844">
              <w:rPr>
                <w:rFonts w:ascii="Arial" w:eastAsia="Times New Roman" w:hAnsi="Arial" w:cs="Arial"/>
                <w:sz w:val="20"/>
                <w:szCs w:val="20"/>
                <w:lang w:eastAsia="da-DK"/>
              </w:rPr>
              <w:t>-8</w:t>
            </w:r>
          </w:p>
        </w:tc>
        <w:tc>
          <w:tcPr>
            <w:tcW w:w="1097" w:type="dxa"/>
            <w:tcBorders>
              <w:top w:val="nil"/>
              <w:left w:val="nil"/>
              <w:bottom w:val="single" w:sz="4" w:space="0" w:color="auto"/>
              <w:right w:val="single" w:sz="4"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sz w:val="20"/>
                <w:szCs w:val="20"/>
                <w:lang w:eastAsia="da-DK"/>
              </w:rPr>
            </w:pPr>
            <w:r w:rsidRPr="00E50844">
              <w:rPr>
                <w:rFonts w:ascii="Arial" w:eastAsia="Times New Roman" w:hAnsi="Arial" w:cs="Arial"/>
                <w:sz w:val="20"/>
                <w:szCs w:val="20"/>
                <w:lang w:eastAsia="da-DK"/>
              </w:rPr>
              <w:t>-7</w:t>
            </w:r>
          </w:p>
        </w:tc>
        <w:tc>
          <w:tcPr>
            <w:tcW w:w="1097" w:type="dxa"/>
            <w:tcBorders>
              <w:top w:val="nil"/>
              <w:left w:val="nil"/>
              <w:bottom w:val="single" w:sz="4" w:space="0" w:color="auto"/>
              <w:right w:val="single" w:sz="8"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sz w:val="20"/>
                <w:szCs w:val="20"/>
                <w:lang w:eastAsia="da-DK"/>
              </w:rPr>
            </w:pPr>
            <w:r w:rsidRPr="00E50844">
              <w:rPr>
                <w:rFonts w:ascii="Arial" w:eastAsia="Times New Roman" w:hAnsi="Arial" w:cs="Arial"/>
                <w:sz w:val="20"/>
                <w:szCs w:val="20"/>
                <w:lang w:eastAsia="da-DK"/>
              </w:rPr>
              <w:t>-3</w:t>
            </w:r>
          </w:p>
        </w:tc>
      </w:tr>
      <w:tr w:rsidR="00E50844" w:rsidRPr="00E50844" w:rsidTr="00E50844">
        <w:trPr>
          <w:trHeight w:val="243"/>
        </w:trPr>
        <w:tc>
          <w:tcPr>
            <w:tcW w:w="1782" w:type="dxa"/>
            <w:tcBorders>
              <w:top w:val="nil"/>
              <w:left w:val="single" w:sz="8" w:space="0" w:color="auto"/>
              <w:bottom w:val="single" w:sz="8" w:space="0" w:color="auto"/>
              <w:right w:val="single" w:sz="4" w:space="0" w:color="auto"/>
            </w:tcBorders>
            <w:shd w:val="clear" w:color="auto" w:fill="auto"/>
            <w:noWrap/>
            <w:vAlign w:val="bottom"/>
            <w:hideMark/>
          </w:tcPr>
          <w:p w:rsidR="00E50844" w:rsidRPr="00E50844" w:rsidRDefault="00E50844" w:rsidP="00E50844">
            <w:pPr>
              <w:spacing w:after="0" w:line="240" w:lineRule="auto"/>
              <w:rPr>
                <w:rFonts w:ascii="Arial" w:eastAsia="Times New Roman" w:hAnsi="Arial" w:cs="Arial"/>
                <w:sz w:val="20"/>
                <w:szCs w:val="20"/>
                <w:lang w:eastAsia="da-DK"/>
              </w:rPr>
            </w:pPr>
            <w:r w:rsidRPr="00E50844">
              <w:rPr>
                <w:rFonts w:ascii="Arial" w:eastAsia="Times New Roman" w:hAnsi="Arial" w:cs="Arial"/>
                <w:sz w:val="20"/>
                <w:szCs w:val="20"/>
                <w:lang w:eastAsia="da-DK"/>
              </w:rPr>
              <w:t>Dødsfald</w:t>
            </w:r>
          </w:p>
        </w:tc>
        <w:tc>
          <w:tcPr>
            <w:tcW w:w="1097" w:type="dxa"/>
            <w:tcBorders>
              <w:top w:val="nil"/>
              <w:left w:val="nil"/>
              <w:bottom w:val="single" w:sz="8" w:space="0" w:color="auto"/>
              <w:right w:val="single" w:sz="4"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sz w:val="20"/>
                <w:szCs w:val="20"/>
                <w:lang w:eastAsia="da-DK"/>
              </w:rPr>
            </w:pPr>
            <w:r w:rsidRPr="00E50844">
              <w:rPr>
                <w:rFonts w:ascii="Arial" w:eastAsia="Times New Roman" w:hAnsi="Arial" w:cs="Arial"/>
                <w:sz w:val="20"/>
                <w:szCs w:val="20"/>
                <w:lang w:eastAsia="da-DK"/>
              </w:rPr>
              <w:t>-20</w:t>
            </w:r>
          </w:p>
        </w:tc>
        <w:tc>
          <w:tcPr>
            <w:tcW w:w="1097" w:type="dxa"/>
            <w:tcBorders>
              <w:top w:val="nil"/>
              <w:left w:val="nil"/>
              <w:bottom w:val="single" w:sz="8" w:space="0" w:color="auto"/>
              <w:right w:val="single" w:sz="4"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sz w:val="20"/>
                <w:szCs w:val="20"/>
                <w:lang w:eastAsia="da-DK"/>
              </w:rPr>
            </w:pPr>
            <w:r w:rsidRPr="00E50844">
              <w:rPr>
                <w:rFonts w:ascii="Arial" w:eastAsia="Times New Roman" w:hAnsi="Arial" w:cs="Arial"/>
                <w:sz w:val="20"/>
                <w:szCs w:val="20"/>
                <w:lang w:eastAsia="da-DK"/>
              </w:rPr>
              <w:t>-30</w:t>
            </w:r>
          </w:p>
        </w:tc>
        <w:tc>
          <w:tcPr>
            <w:tcW w:w="1097" w:type="dxa"/>
            <w:tcBorders>
              <w:top w:val="nil"/>
              <w:left w:val="nil"/>
              <w:bottom w:val="single" w:sz="8" w:space="0" w:color="auto"/>
              <w:right w:val="single" w:sz="4"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sz w:val="20"/>
                <w:szCs w:val="20"/>
                <w:lang w:eastAsia="da-DK"/>
              </w:rPr>
            </w:pPr>
            <w:r w:rsidRPr="00E50844">
              <w:rPr>
                <w:rFonts w:ascii="Arial" w:eastAsia="Times New Roman" w:hAnsi="Arial" w:cs="Arial"/>
                <w:sz w:val="20"/>
                <w:szCs w:val="20"/>
                <w:lang w:eastAsia="da-DK"/>
              </w:rPr>
              <w:t>-34</w:t>
            </w:r>
          </w:p>
        </w:tc>
        <w:tc>
          <w:tcPr>
            <w:tcW w:w="1097" w:type="dxa"/>
            <w:tcBorders>
              <w:top w:val="nil"/>
              <w:left w:val="nil"/>
              <w:bottom w:val="single" w:sz="8" w:space="0" w:color="auto"/>
              <w:right w:val="single" w:sz="8"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sz w:val="20"/>
                <w:szCs w:val="20"/>
                <w:lang w:eastAsia="da-DK"/>
              </w:rPr>
            </w:pPr>
            <w:r w:rsidRPr="00E50844">
              <w:rPr>
                <w:rFonts w:ascii="Arial" w:eastAsia="Times New Roman" w:hAnsi="Arial" w:cs="Arial"/>
                <w:sz w:val="20"/>
                <w:szCs w:val="20"/>
                <w:lang w:eastAsia="da-DK"/>
              </w:rPr>
              <w:t>-37</w:t>
            </w:r>
          </w:p>
        </w:tc>
      </w:tr>
      <w:tr w:rsidR="00E50844" w:rsidRPr="00E50844" w:rsidTr="00E50844">
        <w:trPr>
          <w:trHeight w:val="243"/>
        </w:trPr>
        <w:tc>
          <w:tcPr>
            <w:tcW w:w="1782" w:type="dxa"/>
            <w:tcBorders>
              <w:top w:val="nil"/>
              <w:left w:val="single" w:sz="8" w:space="0" w:color="auto"/>
              <w:bottom w:val="nil"/>
              <w:right w:val="single" w:sz="4" w:space="0" w:color="auto"/>
            </w:tcBorders>
            <w:shd w:val="clear" w:color="auto" w:fill="auto"/>
            <w:noWrap/>
            <w:vAlign w:val="bottom"/>
            <w:hideMark/>
          </w:tcPr>
          <w:p w:rsidR="00E50844" w:rsidRPr="00E50844" w:rsidRDefault="00E50844" w:rsidP="00E50844">
            <w:pPr>
              <w:spacing w:after="0" w:line="240" w:lineRule="auto"/>
              <w:rPr>
                <w:rFonts w:ascii="Arial" w:eastAsia="Times New Roman" w:hAnsi="Arial" w:cs="Arial"/>
                <w:b/>
                <w:bCs/>
                <w:sz w:val="20"/>
                <w:szCs w:val="20"/>
                <w:lang w:eastAsia="da-DK"/>
              </w:rPr>
            </w:pPr>
            <w:r w:rsidRPr="00E50844">
              <w:rPr>
                <w:rFonts w:ascii="Arial" w:eastAsia="Times New Roman" w:hAnsi="Arial" w:cs="Arial"/>
                <w:b/>
                <w:bCs/>
                <w:sz w:val="20"/>
                <w:szCs w:val="20"/>
                <w:lang w:eastAsia="da-DK"/>
              </w:rPr>
              <w:t>Afgange i alt</w:t>
            </w:r>
          </w:p>
        </w:tc>
        <w:tc>
          <w:tcPr>
            <w:tcW w:w="1097" w:type="dxa"/>
            <w:tcBorders>
              <w:top w:val="nil"/>
              <w:left w:val="nil"/>
              <w:bottom w:val="nil"/>
              <w:right w:val="single" w:sz="4"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b/>
                <w:bCs/>
                <w:sz w:val="20"/>
                <w:szCs w:val="20"/>
                <w:lang w:eastAsia="da-DK"/>
              </w:rPr>
            </w:pPr>
            <w:r w:rsidRPr="00E50844">
              <w:rPr>
                <w:rFonts w:ascii="Arial" w:eastAsia="Times New Roman" w:hAnsi="Arial" w:cs="Arial"/>
                <w:b/>
                <w:bCs/>
                <w:sz w:val="20"/>
                <w:szCs w:val="20"/>
                <w:lang w:eastAsia="da-DK"/>
              </w:rPr>
              <w:t>-119</w:t>
            </w:r>
          </w:p>
        </w:tc>
        <w:tc>
          <w:tcPr>
            <w:tcW w:w="1097" w:type="dxa"/>
            <w:tcBorders>
              <w:top w:val="nil"/>
              <w:left w:val="nil"/>
              <w:bottom w:val="nil"/>
              <w:right w:val="single" w:sz="4"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b/>
                <w:bCs/>
                <w:sz w:val="20"/>
                <w:szCs w:val="20"/>
                <w:lang w:eastAsia="da-DK"/>
              </w:rPr>
            </w:pPr>
            <w:r w:rsidRPr="00E50844">
              <w:rPr>
                <w:rFonts w:ascii="Arial" w:eastAsia="Times New Roman" w:hAnsi="Arial" w:cs="Arial"/>
                <w:b/>
                <w:bCs/>
                <w:sz w:val="20"/>
                <w:szCs w:val="20"/>
                <w:lang w:eastAsia="da-DK"/>
              </w:rPr>
              <w:t>-139</w:t>
            </w:r>
          </w:p>
        </w:tc>
        <w:tc>
          <w:tcPr>
            <w:tcW w:w="1097" w:type="dxa"/>
            <w:tcBorders>
              <w:top w:val="nil"/>
              <w:left w:val="nil"/>
              <w:bottom w:val="nil"/>
              <w:right w:val="single" w:sz="4"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b/>
                <w:bCs/>
                <w:sz w:val="20"/>
                <w:szCs w:val="20"/>
                <w:lang w:eastAsia="da-DK"/>
              </w:rPr>
            </w:pPr>
            <w:r w:rsidRPr="00E50844">
              <w:rPr>
                <w:rFonts w:ascii="Arial" w:eastAsia="Times New Roman" w:hAnsi="Arial" w:cs="Arial"/>
                <w:b/>
                <w:bCs/>
                <w:sz w:val="20"/>
                <w:szCs w:val="20"/>
                <w:lang w:eastAsia="da-DK"/>
              </w:rPr>
              <w:t>-157</w:t>
            </w:r>
          </w:p>
        </w:tc>
        <w:tc>
          <w:tcPr>
            <w:tcW w:w="1097" w:type="dxa"/>
            <w:tcBorders>
              <w:top w:val="nil"/>
              <w:left w:val="nil"/>
              <w:bottom w:val="nil"/>
              <w:right w:val="single" w:sz="8"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b/>
                <w:bCs/>
                <w:sz w:val="20"/>
                <w:szCs w:val="20"/>
                <w:lang w:eastAsia="da-DK"/>
              </w:rPr>
            </w:pPr>
            <w:r w:rsidRPr="00E50844">
              <w:rPr>
                <w:rFonts w:ascii="Arial" w:eastAsia="Times New Roman" w:hAnsi="Arial" w:cs="Arial"/>
                <w:b/>
                <w:bCs/>
                <w:sz w:val="20"/>
                <w:szCs w:val="20"/>
                <w:lang w:eastAsia="da-DK"/>
              </w:rPr>
              <w:t>-150</w:t>
            </w:r>
          </w:p>
        </w:tc>
      </w:tr>
      <w:tr w:rsidR="00E50844" w:rsidRPr="00E50844" w:rsidTr="00E50844">
        <w:trPr>
          <w:trHeight w:val="243"/>
        </w:trPr>
        <w:tc>
          <w:tcPr>
            <w:tcW w:w="178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50844" w:rsidRPr="00E50844" w:rsidRDefault="00E50844" w:rsidP="00E50844">
            <w:pPr>
              <w:spacing w:after="0" w:line="240" w:lineRule="auto"/>
              <w:rPr>
                <w:rFonts w:ascii="Arial" w:eastAsia="Times New Roman" w:hAnsi="Arial" w:cs="Arial"/>
                <w:b/>
                <w:bCs/>
                <w:sz w:val="20"/>
                <w:szCs w:val="20"/>
                <w:lang w:eastAsia="da-DK"/>
              </w:rPr>
            </w:pPr>
            <w:r w:rsidRPr="00E50844">
              <w:rPr>
                <w:rFonts w:ascii="Arial" w:eastAsia="Times New Roman" w:hAnsi="Arial" w:cs="Arial"/>
                <w:b/>
                <w:bCs/>
                <w:sz w:val="20"/>
                <w:szCs w:val="20"/>
                <w:lang w:eastAsia="da-DK"/>
              </w:rPr>
              <w:t>Befolkn. ultimo</w:t>
            </w:r>
          </w:p>
        </w:tc>
        <w:tc>
          <w:tcPr>
            <w:tcW w:w="1097" w:type="dxa"/>
            <w:tcBorders>
              <w:top w:val="single" w:sz="8" w:space="0" w:color="auto"/>
              <w:left w:val="nil"/>
              <w:bottom w:val="single" w:sz="8" w:space="0" w:color="auto"/>
              <w:right w:val="single" w:sz="4"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b/>
                <w:bCs/>
                <w:sz w:val="20"/>
                <w:szCs w:val="20"/>
                <w:lang w:eastAsia="da-DK"/>
              </w:rPr>
            </w:pPr>
            <w:r w:rsidRPr="00E50844">
              <w:rPr>
                <w:rFonts w:ascii="Arial" w:eastAsia="Times New Roman" w:hAnsi="Arial" w:cs="Arial"/>
                <w:b/>
                <w:bCs/>
                <w:sz w:val="20"/>
                <w:szCs w:val="20"/>
                <w:lang w:eastAsia="da-DK"/>
              </w:rPr>
              <w:t>1804</w:t>
            </w:r>
          </w:p>
        </w:tc>
        <w:tc>
          <w:tcPr>
            <w:tcW w:w="1097" w:type="dxa"/>
            <w:tcBorders>
              <w:top w:val="single" w:sz="8" w:space="0" w:color="auto"/>
              <w:left w:val="nil"/>
              <w:bottom w:val="single" w:sz="8" w:space="0" w:color="auto"/>
              <w:right w:val="single" w:sz="4"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b/>
                <w:bCs/>
                <w:sz w:val="20"/>
                <w:szCs w:val="20"/>
                <w:lang w:eastAsia="da-DK"/>
              </w:rPr>
            </w:pPr>
            <w:r w:rsidRPr="00E50844">
              <w:rPr>
                <w:rFonts w:ascii="Arial" w:eastAsia="Times New Roman" w:hAnsi="Arial" w:cs="Arial"/>
                <w:b/>
                <w:bCs/>
                <w:sz w:val="20"/>
                <w:szCs w:val="20"/>
                <w:lang w:eastAsia="da-DK"/>
              </w:rPr>
              <w:t>1793</w:t>
            </w:r>
          </w:p>
        </w:tc>
        <w:tc>
          <w:tcPr>
            <w:tcW w:w="1097" w:type="dxa"/>
            <w:tcBorders>
              <w:top w:val="single" w:sz="8" w:space="0" w:color="auto"/>
              <w:left w:val="nil"/>
              <w:bottom w:val="single" w:sz="8" w:space="0" w:color="auto"/>
              <w:right w:val="single" w:sz="4"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b/>
                <w:bCs/>
                <w:sz w:val="20"/>
                <w:szCs w:val="20"/>
                <w:lang w:eastAsia="da-DK"/>
              </w:rPr>
            </w:pPr>
            <w:r w:rsidRPr="00E50844">
              <w:rPr>
                <w:rFonts w:ascii="Arial" w:eastAsia="Times New Roman" w:hAnsi="Arial" w:cs="Arial"/>
                <w:b/>
                <w:bCs/>
                <w:sz w:val="20"/>
                <w:szCs w:val="20"/>
                <w:lang w:eastAsia="da-DK"/>
              </w:rPr>
              <w:t>1769</w:t>
            </w:r>
          </w:p>
        </w:tc>
        <w:tc>
          <w:tcPr>
            <w:tcW w:w="1097" w:type="dxa"/>
            <w:tcBorders>
              <w:top w:val="single" w:sz="8" w:space="0" w:color="auto"/>
              <w:left w:val="nil"/>
              <w:bottom w:val="single" w:sz="8" w:space="0" w:color="auto"/>
              <w:right w:val="single" w:sz="8" w:space="0" w:color="auto"/>
            </w:tcBorders>
            <w:shd w:val="clear" w:color="auto" w:fill="auto"/>
            <w:noWrap/>
            <w:vAlign w:val="bottom"/>
            <w:hideMark/>
          </w:tcPr>
          <w:p w:rsidR="00E50844" w:rsidRPr="00E50844" w:rsidRDefault="00E50844" w:rsidP="00E50844">
            <w:pPr>
              <w:spacing w:after="0" w:line="240" w:lineRule="auto"/>
              <w:jc w:val="right"/>
              <w:rPr>
                <w:rFonts w:ascii="Arial" w:eastAsia="Times New Roman" w:hAnsi="Arial" w:cs="Arial"/>
                <w:b/>
                <w:bCs/>
                <w:sz w:val="20"/>
                <w:szCs w:val="20"/>
                <w:lang w:eastAsia="da-DK"/>
              </w:rPr>
            </w:pPr>
            <w:r w:rsidRPr="00E50844">
              <w:rPr>
                <w:rFonts w:ascii="Arial" w:eastAsia="Times New Roman" w:hAnsi="Arial" w:cs="Arial"/>
                <w:b/>
                <w:bCs/>
                <w:sz w:val="20"/>
                <w:szCs w:val="20"/>
                <w:lang w:eastAsia="da-DK"/>
              </w:rPr>
              <w:t>1776</w:t>
            </w:r>
          </w:p>
        </w:tc>
      </w:tr>
    </w:tbl>
    <w:p w:rsidR="00694AF1" w:rsidRPr="00A202D6" w:rsidRDefault="00694AF1" w:rsidP="001D1C0B">
      <w:pPr>
        <w:spacing w:after="0" w:line="240" w:lineRule="auto"/>
        <w:rPr>
          <w:rFonts w:eastAsia="Times New Roman" w:cstheme="minorHAnsi"/>
          <w:color w:val="000000"/>
          <w:lang w:eastAsia="da-DK"/>
        </w:rPr>
      </w:pPr>
    </w:p>
    <w:p w:rsidR="006A025B" w:rsidRPr="006A025B" w:rsidRDefault="006A025B" w:rsidP="00D0016F">
      <w:pPr>
        <w:rPr>
          <w:rFonts w:ascii="Calibri" w:eastAsia="Arial" w:hAnsi="Calibri" w:cs="Calibri"/>
          <w:sz w:val="16"/>
          <w:szCs w:val="16"/>
        </w:rPr>
      </w:pPr>
      <w:r w:rsidRPr="006A025B">
        <w:rPr>
          <w:noProof/>
          <w:lang w:eastAsia="da-DK"/>
        </w:rPr>
        <w:drawing>
          <wp:inline distT="0" distB="0" distL="0" distR="0">
            <wp:extent cx="6120130" cy="1917003"/>
            <wp:effectExtent l="0" t="0" r="0" b="762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917003"/>
                    </a:xfrm>
                    <a:prstGeom prst="rect">
                      <a:avLst/>
                    </a:prstGeom>
                    <a:noFill/>
                    <a:ln>
                      <a:noFill/>
                    </a:ln>
                  </pic:spPr>
                </pic:pic>
              </a:graphicData>
            </a:graphic>
          </wp:inline>
        </w:drawing>
      </w:r>
    </w:p>
    <w:tbl>
      <w:tblPr>
        <w:tblStyle w:val="Tabel-Gitter"/>
        <w:tblW w:w="0" w:type="auto"/>
        <w:tblLook w:val="04A0" w:firstRow="1" w:lastRow="0" w:firstColumn="1" w:lastColumn="0" w:noHBand="0" w:noVBand="1"/>
      </w:tblPr>
      <w:tblGrid>
        <w:gridCol w:w="3680"/>
        <w:gridCol w:w="1120"/>
        <w:gridCol w:w="1400"/>
        <w:gridCol w:w="1780"/>
      </w:tblGrid>
      <w:tr w:rsidR="006A025B" w:rsidRPr="003F673A" w:rsidTr="008345F1">
        <w:trPr>
          <w:trHeight w:val="270"/>
        </w:trPr>
        <w:tc>
          <w:tcPr>
            <w:tcW w:w="3680" w:type="dxa"/>
            <w:noWrap/>
            <w:hideMark/>
          </w:tcPr>
          <w:p w:rsidR="006A025B" w:rsidRPr="003F673A" w:rsidRDefault="006A025B">
            <w:pPr>
              <w:rPr>
                <w:rFonts w:ascii="Calibri" w:eastAsia="Arial" w:hAnsi="Calibri" w:cs="Calibri"/>
                <w:bCs/>
                <w:sz w:val="16"/>
                <w:szCs w:val="16"/>
              </w:rPr>
            </w:pPr>
            <w:r w:rsidRPr="003F673A">
              <w:rPr>
                <w:rFonts w:ascii="Calibri" w:eastAsia="Arial" w:hAnsi="Calibri" w:cs="Calibri"/>
                <w:bCs/>
                <w:sz w:val="16"/>
                <w:szCs w:val="16"/>
              </w:rPr>
              <w:t xml:space="preserve">Gennemsnitsalder for tilflyttere i alt: </w:t>
            </w:r>
          </w:p>
        </w:tc>
        <w:tc>
          <w:tcPr>
            <w:tcW w:w="1120" w:type="dxa"/>
            <w:noWrap/>
          </w:tcPr>
          <w:p w:rsidR="006A025B" w:rsidRPr="003F673A" w:rsidRDefault="006A025B">
            <w:pPr>
              <w:rPr>
                <w:rFonts w:ascii="Calibri" w:eastAsia="Arial" w:hAnsi="Calibri" w:cs="Calibri"/>
                <w:bCs/>
                <w:sz w:val="16"/>
                <w:szCs w:val="16"/>
              </w:rPr>
            </w:pPr>
          </w:p>
        </w:tc>
        <w:tc>
          <w:tcPr>
            <w:tcW w:w="1400" w:type="dxa"/>
            <w:noWrap/>
          </w:tcPr>
          <w:p w:rsidR="006A025B" w:rsidRPr="003F673A" w:rsidRDefault="006A025B" w:rsidP="006A025B">
            <w:pPr>
              <w:rPr>
                <w:rFonts w:ascii="Calibri" w:eastAsia="Arial" w:hAnsi="Calibri" w:cs="Calibri"/>
                <w:bCs/>
                <w:sz w:val="16"/>
                <w:szCs w:val="16"/>
              </w:rPr>
            </w:pPr>
          </w:p>
        </w:tc>
        <w:tc>
          <w:tcPr>
            <w:tcW w:w="1780" w:type="dxa"/>
            <w:noWrap/>
            <w:hideMark/>
          </w:tcPr>
          <w:p w:rsidR="006A025B" w:rsidRPr="003F673A" w:rsidRDefault="006A025B" w:rsidP="006A025B">
            <w:pPr>
              <w:rPr>
                <w:rFonts w:ascii="Calibri" w:eastAsia="Arial" w:hAnsi="Calibri" w:cs="Calibri"/>
                <w:bCs/>
                <w:sz w:val="16"/>
                <w:szCs w:val="16"/>
              </w:rPr>
            </w:pPr>
            <w:r w:rsidRPr="003F673A">
              <w:rPr>
                <w:rFonts w:ascii="Calibri" w:eastAsia="Arial" w:hAnsi="Calibri" w:cs="Calibri"/>
                <w:bCs/>
                <w:sz w:val="16"/>
                <w:szCs w:val="16"/>
              </w:rPr>
              <w:t>49,71</w:t>
            </w:r>
          </w:p>
        </w:tc>
      </w:tr>
      <w:tr w:rsidR="006A025B" w:rsidRPr="003F673A" w:rsidTr="008345F1">
        <w:trPr>
          <w:trHeight w:val="270"/>
        </w:trPr>
        <w:tc>
          <w:tcPr>
            <w:tcW w:w="3680" w:type="dxa"/>
            <w:noWrap/>
            <w:hideMark/>
          </w:tcPr>
          <w:p w:rsidR="006A025B" w:rsidRPr="003F673A" w:rsidRDefault="006A025B">
            <w:pPr>
              <w:rPr>
                <w:rFonts w:ascii="Calibri" w:eastAsia="Arial" w:hAnsi="Calibri" w:cs="Calibri"/>
                <w:bCs/>
                <w:sz w:val="16"/>
                <w:szCs w:val="16"/>
              </w:rPr>
            </w:pPr>
            <w:r w:rsidRPr="003F673A">
              <w:rPr>
                <w:rFonts w:ascii="Calibri" w:eastAsia="Arial" w:hAnsi="Calibri" w:cs="Calibri"/>
                <w:bCs/>
                <w:sz w:val="16"/>
                <w:szCs w:val="16"/>
              </w:rPr>
              <w:t xml:space="preserve">Gennemsnitsalder for fraflyttere i alt: </w:t>
            </w:r>
          </w:p>
        </w:tc>
        <w:tc>
          <w:tcPr>
            <w:tcW w:w="1120" w:type="dxa"/>
            <w:noWrap/>
          </w:tcPr>
          <w:p w:rsidR="006A025B" w:rsidRPr="003F673A" w:rsidRDefault="006A025B">
            <w:pPr>
              <w:rPr>
                <w:rFonts w:ascii="Calibri" w:eastAsia="Arial" w:hAnsi="Calibri" w:cs="Calibri"/>
                <w:bCs/>
                <w:sz w:val="16"/>
                <w:szCs w:val="16"/>
              </w:rPr>
            </w:pPr>
          </w:p>
        </w:tc>
        <w:tc>
          <w:tcPr>
            <w:tcW w:w="1400" w:type="dxa"/>
            <w:noWrap/>
          </w:tcPr>
          <w:p w:rsidR="006A025B" w:rsidRPr="003F673A" w:rsidRDefault="006A025B" w:rsidP="006A025B">
            <w:pPr>
              <w:rPr>
                <w:rFonts w:ascii="Calibri" w:eastAsia="Arial" w:hAnsi="Calibri" w:cs="Calibri"/>
                <w:bCs/>
                <w:sz w:val="16"/>
                <w:szCs w:val="16"/>
              </w:rPr>
            </w:pPr>
          </w:p>
        </w:tc>
        <w:tc>
          <w:tcPr>
            <w:tcW w:w="1780" w:type="dxa"/>
            <w:noWrap/>
            <w:hideMark/>
          </w:tcPr>
          <w:p w:rsidR="006A025B" w:rsidRPr="003F673A" w:rsidRDefault="008345F1" w:rsidP="006A025B">
            <w:pPr>
              <w:rPr>
                <w:rFonts w:ascii="Calibri" w:eastAsia="Arial" w:hAnsi="Calibri" w:cs="Calibri"/>
                <w:bCs/>
                <w:sz w:val="16"/>
                <w:szCs w:val="16"/>
              </w:rPr>
            </w:pPr>
            <w:r>
              <w:rPr>
                <w:rFonts w:ascii="Calibri" w:eastAsia="Arial" w:hAnsi="Calibri" w:cs="Calibri"/>
                <w:bCs/>
                <w:sz w:val="16"/>
                <w:szCs w:val="16"/>
              </w:rPr>
              <w:t>41,57</w:t>
            </w:r>
          </w:p>
        </w:tc>
      </w:tr>
    </w:tbl>
    <w:p w:rsidR="00304707" w:rsidRPr="004845A5" w:rsidRDefault="00304707" w:rsidP="00D0016F">
      <w:pPr>
        <w:rPr>
          <w:rFonts w:ascii="Calibri" w:eastAsia="Arial" w:hAnsi="Calibri" w:cs="Calibri"/>
          <w:b/>
          <w:i/>
          <w:sz w:val="16"/>
          <w:szCs w:val="16"/>
        </w:rPr>
      </w:pPr>
      <w:r w:rsidRPr="004845A5">
        <w:rPr>
          <w:rFonts w:ascii="Calibri" w:eastAsia="Arial" w:hAnsi="Calibri" w:cs="Calibri"/>
          <w:b/>
          <w:i/>
          <w:sz w:val="16"/>
          <w:szCs w:val="16"/>
        </w:rPr>
        <w:t>Tabellern</w:t>
      </w:r>
      <w:r w:rsidR="003F673A">
        <w:rPr>
          <w:rFonts w:ascii="Calibri" w:eastAsia="Arial" w:hAnsi="Calibri" w:cs="Calibri"/>
          <w:b/>
          <w:i/>
          <w:sz w:val="16"/>
          <w:szCs w:val="16"/>
        </w:rPr>
        <w:t>e gælder for perioden 01.01.2021</w:t>
      </w:r>
      <w:r w:rsidRPr="004845A5">
        <w:rPr>
          <w:rFonts w:ascii="Calibri" w:eastAsia="Arial" w:hAnsi="Calibri" w:cs="Calibri"/>
          <w:b/>
          <w:i/>
          <w:sz w:val="16"/>
          <w:szCs w:val="16"/>
        </w:rPr>
        <w:t xml:space="preserve"> til og med </w:t>
      </w:r>
      <w:r w:rsidR="00F71499">
        <w:rPr>
          <w:rFonts w:ascii="Calibri" w:eastAsia="Arial" w:hAnsi="Calibri" w:cs="Calibri"/>
          <w:b/>
          <w:i/>
          <w:sz w:val="16"/>
          <w:szCs w:val="16"/>
        </w:rPr>
        <w:t>01.01.2022</w:t>
      </w:r>
    </w:p>
    <w:p w:rsidR="00E41BAB" w:rsidRDefault="00EF2B7F" w:rsidP="007054EC">
      <w:pPr>
        <w:rPr>
          <w:rFonts w:cstheme="minorHAnsi"/>
        </w:rPr>
      </w:pPr>
      <w:r>
        <w:rPr>
          <w:rFonts w:cstheme="minorHAnsi"/>
        </w:rPr>
        <w:lastRenderedPageBreak/>
        <w:t xml:space="preserve">I Læsø Kommune er gennemsnitsalderen </w:t>
      </w:r>
      <w:r w:rsidRPr="00290AE1">
        <w:rPr>
          <w:rFonts w:cstheme="minorHAnsi"/>
        </w:rPr>
        <w:t>53,6</w:t>
      </w:r>
      <w:r w:rsidR="00C55E07">
        <w:rPr>
          <w:rStyle w:val="Fodnotehenvisning"/>
          <w:rFonts w:cstheme="minorHAnsi"/>
        </w:rPr>
        <w:footnoteReference w:id="1"/>
      </w:r>
      <w:r w:rsidR="00C55E07">
        <w:rPr>
          <w:rFonts w:cstheme="minorHAnsi"/>
        </w:rPr>
        <w:t xml:space="preserve"> </w:t>
      </w:r>
      <w:r w:rsidRPr="00290AE1">
        <w:rPr>
          <w:rFonts w:cstheme="minorHAnsi"/>
        </w:rPr>
        <w:t>år</w:t>
      </w:r>
      <w:r>
        <w:rPr>
          <w:rFonts w:cstheme="minorHAnsi"/>
        </w:rPr>
        <w:t xml:space="preserve"> og cirka halvdelen af øens befolkning er over 60 år</w:t>
      </w:r>
      <w:r w:rsidR="00230696">
        <w:rPr>
          <w:rStyle w:val="Fodnotehenvisning"/>
          <w:rFonts w:cstheme="minorHAnsi"/>
        </w:rPr>
        <w:footnoteReference w:id="2"/>
      </w:r>
      <w:r>
        <w:rPr>
          <w:rFonts w:cstheme="minorHAnsi"/>
        </w:rPr>
        <w:t xml:space="preserve">. </w:t>
      </w:r>
      <w:r w:rsidR="008345F1">
        <w:rPr>
          <w:rFonts w:cstheme="minorHAnsi"/>
        </w:rPr>
        <w:t>Dette</w:t>
      </w:r>
      <w:r>
        <w:rPr>
          <w:rFonts w:cstheme="minorHAnsi"/>
        </w:rPr>
        <w:t xml:space="preserve"> hænger sammen med, at man</w:t>
      </w:r>
      <w:r w:rsidR="008345F1">
        <w:rPr>
          <w:rFonts w:cstheme="minorHAnsi"/>
        </w:rPr>
        <w:t>ge</w:t>
      </w:r>
      <w:r>
        <w:rPr>
          <w:rFonts w:cstheme="minorHAnsi"/>
        </w:rPr>
        <w:t xml:space="preserve"> bliver ældre på Læsø og at </w:t>
      </w:r>
      <w:r w:rsidR="003D4E6A">
        <w:rPr>
          <w:rFonts w:cstheme="minorHAnsi"/>
        </w:rPr>
        <w:t>man er nødt til at fraflytte kommunen, for at tage en uddannelse. G</w:t>
      </w:r>
      <w:r>
        <w:rPr>
          <w:rFonts w:cstheme="minorHAnsi"/>
        </w:rPr>
        <w:t xml:space="preserve">ennemsnitsalderen for fraflyttere </w:t>
      </w:r>
      <w:r w:rsidR="00083D9D">
        <w:rPr>
          <w:rFonts w:cstheme="minorHAnsi"/>
        </w:rPr>
        <w:t xml:space="preserve">i 2021 </w:t>
      </w:r>
      <w:r>
        <w:rPr>
          <w:rFonts w:cstheme="minorHAnsi"/>
        </w:rPr>
        <w:t xml:space="preserve">er </w:t>
      </w:r>
      <w:r w:rsidR="00083D9D">
        <w:rPr>
          <w:rFonts w:cstheme="minorHAnsi"/>
        </w:rPr>
        <w:t>41,5</w:t>
      </w:r>
      <w:r w:rsidR="00F72F96">
        <w:rPr>
          <w:rFonts w:cstheme="minorHAnsi"/>
        </w:rPr>
        <w:t xml:space="preserve"> år</w:t>
      </w:r>
      <w:r w:rsidR="003D4E6A">
        <w:rPr>
          <w:rFonts w:cstheme="minorHAnsi"/>
        </w:rPr>
        <w:t xml:space="preserve"> og</w:t>
      </w:r>
      <w:r>
        <w:rPr>
          <w:rFonts w:cstheme="minorHAnsi"/>
        </w:rPr>
        <w:t xml:space="preserve"> gennems</w:t>
      </w:r>
      <w:r w:rsidR="003D4E6A">
        <w:rPr>
          <w:rFonts w:cstheme="minorHAnsi"/>
        </w:rPr>
        <w:t xml:space="preserve">nitsalderen for tilflyttere ligger </w:t>
      </w:r>
      <w:r>
        <w:rPr>
          <w:rFonts w:cstheme="minorHAnsi"/>
        </w:rPr>
        <w:t xml:space="preserve">på </w:t>
      </w:r>
      <w:r w:rsidR="00083D9D">
        <w:rPr>
          <w:rFonts w:cstheme="minorHAnsi"/>
        </w:rPr>
        <w:t>4</w:t>
      </w:r>
      <w:r>
        <w:rPr>
          <w:rFonts w:cstheme="minorHAnsi"/>
        </w:rPr>
        <w:t>9,</w:t>
      </w:r>
      <w:r w:rsidR="00083D9D">
        <w:rPr>
          <w:rFonts w:cstheme="minorHAnsi"/>
        </w:rPr>
        <w:t>7</w:t>
      </w:r>
      <w:r>
        <w:rPr>
          <w:rFonts w:cstheme="minorHAnsi"/>
        </w:rPr>
        <w:t xml:space="preserve"> år i 20</w:t>
      </w:r>
      <w:r w:rsidR="00083D9D">
        <w:rPr>
          <w:rFonts w:cstheme="minorHAnsi"/>
        </w:rPr>
        <w:t>2</w:t>
      </w:r>
      <w:r>
        <w:rPr>
          <w:rFonts w:cstheme="minorHAnsi"/>
        </w:rPr>
        <w:t>1</w:t>
      </w:r>
      <w:r w:rsidR="008345F1">
        <w:rPr>
          <w:rFonts w:cstheme="minorHAnsi"/>
        </w:rPr>
        <w:t>. Der er lige mange</w:t>
      </w:r>
      <w:r w:rsidR="00F72F96">
        <w:rPr>
          <w:rFonts w:cstheme="minorHAnsi"/>
        </w:rPr>
        <w:t xml:space="preserve"> mænd eller kvinder der flytter til eller fra Læsø kom</w:t>
      </w:r>
      <w:r w:rsidR="00E41BAB">
        <w:rPr>
          <w:rFonts w:cstheme="minorHAnsi"/>
        </w:rPr>
        <w:t>mune.</w:t>
      </w:r>
    </w:p>
    <w:p w:rsidR="00812C02" w:rsidRDefault="00812C02" w:rsidP="007054EC">
      <w:pPr>
        <w:rPr>
          <w:rFonts w:cstheme="minorHAnsi"/>
        </w:rPr>
      </w:pPr>
      <w:r>
        <w:rPr>
          <w:rFonts w:cstheme="minorHAnsi"/>
        </w:rPr>
        <w:t>I de to efterfølgende di</w:t>
      </w:r>
      <w:r w:rsidR="008345F1">
        <w:rPr>
          <w:rFonts w:cstheme="minorHAnsi"/>
        </w:rPr>
        <w:t>agrammer, ser man alderen på de</w:t>
      </w:r>
      <w:r>
        <w:rPr>
          <w:rFonts w:cstheme="minorHAnsi"/>
        </w:rPr>
        <w:t xml:space="preserve"> der </w:t>
      </w:r>
      <w:r w:rsidR="008345F1">
        <w:rPr>
          <w:rFonts w:cstheme="minorHAnsi"/>
        </w:rPr>
        <w:t>er flyttet</w:t>
      </w:r>
      <w:r>
        <w:rPr>
          <w:rFonts w:cstheme="minorHAnsi"/>
        </w:rPr>
        <w:t xml:space="preserve"> til og fra Læsø kommune igennem de sidste tre år. </w:t>
      </w:r>
      <w:r w:rsidR="000C5D8E">
        <w:rPr>
          <w:rFonts w:cstheme="minorHAnsi"/>
        </w:rPr>
        <w:t xml:space="preserve">Det ses tydeligt at det største udsving er i teenageårende og starten af </w:t>
      </w:r>
      <w:r w:rsidR="006A025B">
        <w:rPr>
          <w:rFonts w:cstheme="minorHAnsi"/>
        </w:rPr>
        <w:t>20´</w:t>
      </w:r>
      <w:r w:rsidR="008345F1">
        <w:rPr>
          <w:rFonts w:cstheme="minorHAnsi"/>
        </w:rPr>
        <w:t>er</w:t>
      </w:r>
      <w:r w:rsidR="000C5D8E">
        <w:rPr>
          <w:rFonts w:cstheme="minorHAnsi"/>
        </w:rPr>
        <w:t>ne. Dette kan bland</w:t>
      </w:r>
      <w:r w:rsidR="008345F1">
        <w:rPr>
          <w:rFonts w:cstheme="minorHAnsi"/>
        </w:rPr>
        <w:t>t</w:t>
      </w:r>
      <w:r w:rsidR="000C5D8E">
        <w:rPr>
          <w:rFonts w:cstheme="minorHAnsi"/>
        </w:rPr>
        <w:t xml:space="preserve"> andet skyldes, at vi har en hel 9. klasse der forlader kommunen, for at videreuddanne sig og at vi i turistsæsonen ikke </w:t>
      </w:r>
      <w:r w:rsidR="008345F1">
        <w:rPr>
          <w:rFonts w:cstheme="minorHAnsi"/>
        </w:rPr>
        <w:t>har</w:t>
      </w:r>
      <w:r w:rsidR="000C5D8E">
        <w:rPr>
          <w:rFonts w:cstheme="minorHAnsi"/>
        </w:rPr>
        <w:t xml:space="preserve"> hjælpende hænder nok til at betjene alle de handlende.</w:t>
      </w:r>
      <w:r w:rsidR="006A025B">
        <w:rPr>
          <w:rFonts w:cstheme="minorHAnsi"/>
        </w:rPr>
        <w:t xml:space="preserve"> Hvilket </w:t>
      </w:r>
      <w:r w:rsidR="008345F1">
        <w:rPr>
          <w:rFonts w:cstheme="minorHAnsi"/>
        </w:rPr>
        <w:t xml:space="preserve">betyder, at vi er nødt til at importere arbejdskraft. Desværre betyder det også, </w:t>
      </w:r>
      <w:r w:rsidR="006A025B">
        <w:rPr>
          <w:rFonts w:cstheme="minorHAnsi"/>
        </w:rPr>
        <w:t xml:space="preserve">at de fraflytter øen igen, når sæsonen er slut og der ikke længere er behov for deres arbejdskraft. </w:t>
      </w:r>
    </w:p>
    <w:p w:rsidR="006A025B" w:rsidRDefault="008345F1" w:rsidP="007054EC">
      <w:pPr>
        <w:rPr>
          <w:rFonts w:cstheme="minorHAnsi"/>
        </w:rPr>
      </w:pPr>
      <w:r>
        <w:rPr>
          <w:rFonts w:cstheme="minorHAnsi"/>
        </w:rPr>
        <w:t>Mange vælger</w:t>
      </w:r>
      <w:r w:rsidR="006A025B">
        <w:rPr>
          <w:rFonts w:cstheme="minorHAnsi"/>
        </w:rPr>
        <w:t xml:space="preserve"> at </w:t>
      </w:r>
      <w:r>
        <w:rPr>
          <w:rFonts w:cstheme="minorHAnsi"/>
        </w:rPr>
        <w:t>flytte til øen i starten af 30´</w:t>
      </w:r>
      <w:r w:rsidR="006A025B">
        <w:rPr>
          <w:rFonts w:cstheme="minorHAnsi"/>
        </w:rPr>
        <w:t>erne, formentlig fordi de har fundet j</w:t>
      </w:r>
      <w:r>
        <w:rPr>
          <w:rFonts w:cstheme="minorHAnsi"/>
        </w:rPr>
        <w:t>ob og arbejde på øen. Der ses</w:t>
      </w:r>
      <w:r w:rsidR="006A025B">
        <w:rPr>
          <w:rFonts w:cstheme="minorHAnsi"/>
        </w:rPr>
        <w:t xml:space="preserve"> igen et massivt udsving i aldersgruppen 50-59 år, hvor mange</w:t>
      </w:r>
      <w:r>
        <w:rPr>
          <w:rFonts w:cstheme="minorHAnsi"/>
        </w:rPr>
        <w:t xml:space="preserve"> vælger at bosætte sig på Læsø. </w:t>
      </w:r>
      <w:r w:rsidR="006A025B">
        <w:rPr>
          <w:rFonts w:cstheme="minorHAnsi"/>
        </w:rPr>
        <w:t xml:space="preserve">Sammenlignes dette med fraflytningen, er denne langt lavere i samme årgang. </w:t>
      </w:r>
    </w:p>
    <w:p w:rsidR="00E50844" w:rsidRDefault="00E50844" w:rsidP="007054EC">
      <w:pPr>
        <w:rPr>
          <w:rFonts w:cstheme="minorHAnsi"/>
        </w:rPr>
      </w:pPr>
    </w:p>
    <w:p w:rsidR="00812C02" w:rsidRDefault="00290AE1" w:rsidP="007054EC">
      <w:pPr>
        <w:rPr>
          <w:rFonts w:cstheme="minorHAnsi"/>
        </w:rPr>
      </w:pPr>
      <w:r>
        <w:rPr>
          <w:noProof/>
          <w:lang w:eastAsia="da-DK"/>
        </w:rPr>
        <w:drawing>
          <wp:inline distT="0" distB="0" distL="0" distR="0" wp14:anchorId="371B9A23" wp14:editId="7D3FC58D">
            <wp:extent cx="6120130" cy="3651885"/>
            <wp:effectExtent l="0" t="0" r="13970" b="5715"/>
            <wp:docPr id="17" name="Diagra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0AE1" w:rsidRDefault="00230696" w:rsidP="007054EC">
      <w:pPr>
        <w:rPr>
          <w:rFonts w:cstheme="minorHAnsi"/>
        </w:rPr>
      </w:pPr>
      <w:r>
        <w:rPr>
          <w:noProof/>
          <w:lang w:eastAsia="da-DK"/>
        </w:rPr>
        <w:lastRenderedPageBreak/>
        <w:drawing>
          <wp:inline distT="0" distB="0" distL="0" distR="0" wp14:anchorId="38B78360" wp14:editId="445629E6">
            <wp:extent cx="6120130" cy="3833495"/>
            <wp:effectExtent l="0" t="0" r="13970" b="14605"/>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54EC" w:rsidRPr="00A202D6" w:rsidRDefault="007054EC" w:rsidP="007054EC">
      <w:pPr>
        <w:rPr>
          <w:rFonts w:cstheme="minorHAnsi"/>
        </w:rPr>
      </w:pPr>
      <w:r w:rsidRPr="00A202D6">
        <w:rPr>
          <w:rFonts w:cstheme="minorHAnsi"/>
        </w:rPr>
        <w:t>Jeg oplever at rigtig mange er pro Læsø og virkelig drømmer om, at kunne få kabalen til at gå op, så de kan bo og arbejde i vores kommune.</w:t>
      </w:r>
      <w:r w:rsidR="008345F1">
        <w:rPr>
          <w:rFonts w:cstheme="minorHAnsi"/>
        </w:rPr>
        <w:t xml:space="preserve"> N</w:t>
      </w:r>
      <w:r w:rsidR="00D010F9">
        <w:rPr>
          <w:rFonts w:cstheme="minorHAnsi"/>
        </w:rPr>
        <w:t>år vi ser på boligsalget i alle kommuner har Læsø fået en meget fin 12´te plads</w:t>
      </w:r>
      <w:r w:rsidR="00F5184A">
        <w:rPr>
          <w:rStyle w:val="Fodnotehenvisning"/>
          <w:rFonts w:cstheme="minorHAnsi"/>
        </w:rPr>
        <w:footnoteReference w:id="3"/>
      </w:r>
      <w:r w:rsidR="00D010F9">
        <w:rPr>
          <w:rFonts w:cstheme="minorHAnsi"/>
        </w:rPr>
        <w:t>. Ser man på i hvilke kommuner danskerne helst vil</w:t>
      </w:r>
      <w:r w:rsidR="00845C8D">
        <w:rPr>
          <w:rFonts w:cstheme="minorHAnsi"/>
        </w:rPr>
        <w:t xml:space="preserve"> bo i</w:t>
      </w:r>
      <w:r w:rsidR="00D010F9">
        <w:rPr>
          <w:rFonts w:cstheme="minorHAnsi"/>
        </w:rPr>
        <w:t>, så ligger Læsø i midten og er oven i købet den kommune i Nor</w:t>
      </w:r>
      <w:r w:rsidR="00845C8D">
        <w:rPr>
          <w:rFonts w:cstheme="minorHAnsi"/>
        </w:rPr>
        <w:t>djylland, som man helst vil bo</w:t>
      </w:r>
      <w:r w:rsidR="00D010F9">
        <w:rPr>
          <w:rFonts w:cstheme="minorHAnsi"/>
        </w:rPr>
        <w:t>.</w:t>
      </w:r>
      <w:r w:rsidR="00DB4599" w:rsidRPr="00DB4599">
        <w:t xml:space="preserve"> </w:t>
      </w:r>
      <w:r w:rsidR="00DB4599" w:rsidRPr="00DB4599">
        <w:rPr>
          <w:rFonts w:cstheme="minorHAnsi"/>
        </w:rPr>
        <w:t>Læsø er placeret på plads nummer 4</w:t>
      </w:r>
      <w:r w:rsidR="00845C8D">
        <w:rPr>
          <w:rFonts w:cstheme="minorHAnsi"/>
        </w:rPr>
        <w:t>2 ud af Danmarks 98 kommuner. B</w:t>
      </w:r>
      <w:r w:rsidR="00DB4599" w:rsidRPr="00DB4599">
        <w:rPr>
          <w:rFonts w:cstheme="minorHAnsi"/>
        </w:rPr>
        <w:t>landt de 25 kommuner der ligger lavest i indekset er desværre alle andre kommuner i region Nordjylland ud over Læsø</w:t>
      </w:r>
      <w:r w:rsidR="00DB4599">
        <w:rPr>
          <w:rFonts w:cstheme="minorHAnsi"/>
        </w:rPr>
        <w:t>.</w:t>
      </w:r>
      <w:r w:rsidR="00DB4599" w:rsidRPr="00DB4599">
        <w:t xml:space="preserve"> </w:t>
      </w:r>
      <w:r w:rsidR="00DB4599" w:rsidRPr="00DB4599">
        <w:rPr>
          <w:rFonts w:cstheme="minorHAnsi"/>
        </w:rPr>
        <w:t>Vel og mærke drejer det sig om lej</w:t>
      </w:r>
      <w:r w:rsidR="00845C8D">
        <w:rPr>
          <w:rFonts w:cstheme="minorHAnsi"/>
        </w:rPr>
        <w:t>eboliger og dem har vi ikke</w:t>
      </w:r>
      <w:r w:rsidR="00DB4599" w:rsidRPr="00DB4599">
        <w:rPr>
          <w:rFonts w:cstheme="minorHAnsi"/>
        </w:rPr>
        <w:t xml:space="preserve"> mange af i kommunen. I det øjeblik der kommer en lejebolig er den også lejet ud. I den forbindelse kan jeg kun rose alle de private initiativer der har været for at etablere lejeboliger, uden dem havde det virkelig været svært at finde tag over hovedet til tilflyttere</w:t>
      </w:r>
      <w:r w:rsidR="00DB4599">
        <w:rPr>
          <w:rStyle w:val="Fodnotehenvisning"/>
          <w:rFonts w:cstheme="minorHAnsi"/>
        </w:rPr>
        <w:footnoteReference w:id="4"/>
      </w:r>
      <w:r w:rsidR="00DB4599" w:rsidRPr="00DB4599">
        <w:rPr>
          <w:rFonts w:cstheme="minorHAnsi"/>
        </w:rPr>
        <w:t>.</w:t>
      </w:r>
    </w:p>
    <w:p w:rsidR="008358BA" w:rsidRPr="00A202D6" w:rsidRDefault="008358BA" w:rsidP="00482927">
      <w:pPr>
        <w:rPr>
          <w:rFonts w:eastAsia="Arial" w:cstheme="minorHAnsi"/>
        </w:rPr>
      </w:pPr>
      <w:r w:rsidRPr="00A202D6">
        <w:rPr>
          <w:rFonts w:eastAsia="Arial" w:cstheme="minorHAnsi"/>
        </w:rPr>
        <w:t>For at få afklaret spørgsmålet om arbejde til de</w:t>
      </w:r>
      <w:r w:rsidR="00DB4599">
        <w:rPr>
          <w:rFonts w:eastAsia="Arial" w:cstheme="minorHAnsi"/>
        </w:rPr>
        <w:t>m</w:t>
      </w:r>
      <w:r w:rsidRPr="00A202D6">
        <w:rPr>
          <w:rFonts w:eastAsia="Arial" w:cstheme="minorHAnsi"/>
        </w:rPr>
        <w:t xml:space="preserve"> der flytter over</w:t>
      </w:r>
      <w:r w:rsidR="00DB4599">
        <w:rPr>
          <w:rFonts w:eastAsia="Arial" w:cstheme="minorHAnsi"/>
        </w:rPr>
        <w:t xml:space="preserve"> på Læsø</w:t>
      </w:r>
      <w:r w:rsidRPr="00A202D6">
        <w:rPr>
          <w:rFonts w:eastAsia="Arial" w:cstheme="minorHAnsi"/>
        </w:rPr>
        <w:t xml:space="preserve">, har jeg holdt øjne og ører åbne for hvilke muligheder der er. </w:t>
      </w:r>
      <w:r w:rsidR="00300397">
        <w:rPr>
          <w:rFonts w:eastAsia="Arial" w:cstheme="minorHAnsi"/>
        </w:rPr>
        <w:t>J</w:t>
      </w:r>
      <w:r w:rsidRPr="00A202D6">
        <w:rPr>
          <w:rFonts w:eastAsia="Arial" w:cstheme="minorHAnsi"/>
        </w:rPr>
        <w:t>eg</w:t>
      </w:r>
      <w:r w:rsidR="00362D27">
        <w:rPr>
          <w:rFonts w:eastAsia="Arial" w:cstheme="minorHAnsi"/>
        </w:rPr>
        <w:t xml:space="preserve"> har</w:t>
      </w:r>
      <w:r w:rsidRPr="00A202D6">
        <w:rPr>
          <w:rFonts w:eastAsia="Arial" w:cstheme="minorHAnsi"/>
        </w:rPr>
        <w:t xml:space="preserve"> forsøgt at imødekomme </w:t>
      </w:r>
      <w:r w:rsidR="00300397">
        <w:rPr>
          <w:rFonts w:eastAsia="Arial" w:cstheme="minorHAnsi"/>
        </w:rPr>
        <w:t>udfordringen</w:t>
      </w:r>
      <w:r w:rsidR="00DB4599">
        <w:rPr>
          <w:rFonts w:eastAsia="Arial" w:cstheme="minorHAnsi"/>
        </w:rPr>
        <w:t xml:space="preserve"> med at finde medarbejdere</w:t>
      </w:r>
      <w:r w:rsidRPr="00A202D6">
        <w:rPr>
          <w:rFonts w:eastAsia="Arial" w:cstheme="minorHAnsi"/>
        </w:rPr>
        <w:t>, ved at lave jobopslag og brede d</w:t>
      </w:r>
      <w:r w:rsidR="00300397">
        <w:rPr>
          <w:rFonts w:eastAsia="Arial" w:cstheme="minorHAnsi"/>
        </w:rPr>
        <w:t xml:space="preserve">isse </w:t>
      </w:r>
      <w:r w:rsidRPr="00A202D6">
        <w:rPr>
          <w:rFonts w:eastAsia="Arial" w:cstheme="minorHAnsi"/>
        </w:rPr>
        <w:t xml:space="preserve">ud i diverse sociale medier samt </w:t>
      </w:r>
      <w:r w:rsidR="00362D27">
        <w:rPr>
          <w:rFonts w:eastAsia="Arial" w:cstheme="minorHAnsi"/>
        </w:rPr>
        <w:t xml:space="preserve">på </w:t>
      </w:r>
      <w:r w:rsidRPr="00A202D6">
        <w:rPr>
          <w:rFonts w:eastAsia="Arial" w:cstheme="minorHAnsi"/>
        </w:rPr>
        <w:t>hjemmeside</w:t>
      </w:r>
      <w:r w:rsidR="00362D27">
        <w:rPr>
          <w:rFonts w:eastAsia="Arial" w:cstheme="minorHAnsi"/>
        </w:rPr>
        <w:t>n</w:t>
      </w:r>
      <w:r w:rsidRPr="00A202D6">
        <w:rPr>
          <w:rFonts w:eastAsia="Arial" w:cstheme="minorHAnsi"/>
        </w:rPr>
        <w:t xml:space="preserve">. </w:t>
      </w:r>
      <w:r w:rsidR="00DB4599">
        <w:rPr>
          <w:rFonts w:eastAsia="Arial" w:cstheme="minorHAnsi"/>
        </w:rPr>
        <w:t xml:space="preserve">Enhver ny medarbejder på Læsø giver et potentiale for en ny tilflytter. </w:t>
      </w:r>
      <w:r w:rsidR="00083D9D">
        <w:rPr>
          <w:rFonts w:eastAsia="Arial" w:cstheme="minorHAnsi"/>
        </w:rPr>
        <w:t xml:space="preserve">Ligeledes har jeg kontaktet forskellige firmaer i kommunen, for at høre ind til en mulig arbejdsplads for en tilflytter, hvis kompetenceområde ikke lige er slået op under ledige stillinger. </w:t>
      </w:r>
    </w:p>
    <w:p w:rsidR="007054EC" w:rsidRDefault="007054EC" w:rsidP="007054EC">
      <w:pPr>
        <w:rPr>
          <w:rFonts w:cstheme="minorHAnsi"/>
        </w:rPr>
      </w:pPr>
      <w:r w:rsidRPr="00A202D6">
        <w:rPr>
          <w:rFonts w:cstheme="minorHAnsi"/>
        </w:rPr>
        <w:t xml:space="preserve">Det næste </w:t>
      </w:r>
      <w:r w:rsidR="00845C8D">
        <w:rPr>
          <w:rFonts w:cstheme="minorHAnsi"/>
        </w:rPr>
        <w:t>er spørgsmål</w:t>
      </w:r>
      <w:r w:rsidRPr="00A202D6">
        <w:rPr>
          <w:rFonts w:cstheme="minorHAnsi"/>
        </w:rPr>
        <w:t xml:space="preserve"> er</w:t>
      </w:r>
      <w:r w:rsidR="00845C8D">
        <w:rPr>
          <w:rFonts w:cstheme="minorHAnsi"/>
        </w:rPr>
        <w:t>,</w:t>
      </w:r>
      <w:r w:rsidRPr="00A202D6">
        <w:rPr>
          <w:rFonts w:cstheme="minorHAnsi"/>
        </w:rPr>
        <w:t xml:space="preserve"> hvor kan man bo</w:t>
      </w:r>
      <w:r w:rsidR="00DB4599">
        <w:rPr>
          <w:rFonts w:cstheme="minorHAnsi"/>
        </w:rPr>
        <w:t>, når man gerne vil flytte til Læsø</w:t>
      </w:r>
      <w:r w:rsidRPr="00A202D6">
        <w:rPr>
          <w:rFonts w:cstheme="minorHAnsi"/>
        </w:rPr>
        <w:t>. I dette tilfælde har det for det meste været en udfordring at finde lejebolig til familie</w:t>
      </w:r>
      <w:r w:rsidR="00362D27">
        <w:rPr>
          <w:rFonts w:cstheme="minorHAnsi"/>
        </w:rPr>
        <w:t>r</w:t>
      </w:r>
      <w:r w:rsidRPr="00A202D6">
        <w:rPr>
          <w:rFonts w:cstheme="minorHAnsi"/>
        </w:rPr>
        <w:t xml:space="preserve"> med teenagebørn, da der her er et større behov for værelser i boligen. </w:t>
      </w:r>
      <w:r w:rsidR="00DB4599">
        <w:rPr>
          <w:rFonts w:cstheme="minorHAnsi"/>
        </w:rPr>
        <w:t xml:space="preserve">Udfordringen er der især, når det gælder lejeboliger! </w:t>
      </w:r>
      <w:r w:rsidR="00083D9D">
        <w:rPr>
          <w:rFonts w:cstheme="minorHAnsi"/>
        </w:rPr>
        <w:t xml:space="preserve">Jeg vil i denne sammenhæng </w:t>
      </w:r>
      <w:r w:rsidR="00083D9D">
        <w:rPr>
          <w:rFonts w:cstheme="minorHAnsi"/>
        </w:rPr>
        <w:lastRenderedPageBreak/>
        <w:t>både rose og sige tak</w:t>
      </w:r>
      <w:r w:rsidR="00845C8D">
        <w:rPr>
          <w:rFonts w:cstheme="minorHAnsi"/>
        </w:rPr>
        <w:t xml:space="preserve"> såvel</w:t>
      </w:r>
      <w:r w:rsidR="00083D9D">
        <w:rPr>
          <w:rFonts w:cstheme="minorHAnsi"/>
        </w:rPr>
        <w:t xml:space="preserve"> til kommunen</w:t>
      </w:r>
      <w:r w:rsidR="0076583C">
        <w:rPr>
          <w:rStyle w:val="Fodnotehenvisning"/>
          <w:rFonts w:cstheme="minorHAnsi"/>
        </w:rPr>
        <w:footnoteReference w:id="5"/>
      </w:r>
      <w:r w:rsidR="00083D9D">
        <w:rPr>
          <w:rFonts w:cstheme="minorHAnsi"/>
        </w:rPr>
        <w:t xml:space="preserve"> såvel som de private investorer, der har </w:t>
      </w:r>
      <w:r w:rsidR="00DB4599">
        <w:rPr>
          <w:rFonts w:cstheme="minorHAnsi"/>
        </w:rPr>
        <w:t xml:space="preserve">set behovet og kunnet </w:t>
      </w:r>
      <w:r w:rsidR="00083D9D">
        <w:rPr>
          <w:rFonts w:cstheme="minorHAnsi"/>
        </w:rPr>
        <w:t>sørge for at købe huse og renovere d</w:t>
      </w:r>
      <w:r w:rsidR="00845C8D">
        <w:rPr>
          <w:rFonts w:cstheme="minorHAnsi"/>
        </w:rPr>
        <w:t>isse</w:t>
      </w:r>
      <w:r w:rsidR="00083D9D">
        <w:rPr>
          <w:rFonts w:cstheme="minorHAnsi"/>
        </w:rPr>
        <w:t xml:space="preserve"> med udlejning </w:t>
      </w:r>
      <w:r w:rsidR="00845C8D">
        <w:rPr>
          <w:rFonts w:cstheme="minorHAnsi"/>
        </w:rPr>
        <w:t>for øje</w:t>
      </w:r>
      <w:r w:rsidR="00083D9D">
        <w:rPr>
          <w:rFonts w:cstheme="minorHAnsi"/>
        </w:rPr>
        <w:t>. Der er et stort behov for ikke kun lejeboliger i forskellige størrelser, men også for at kunne leje nogle boliger, der lever op til nutidens standarder.</w:t>
      </w:r>
    </w:p>
    <w:p w:rsidR="00446FF3" w:rsidRDefault="00446FF3" w:rsidP="007054EC">
      <w:pPr>
        <w:rPr>
          <w:rFonts w:cstheme="minorHAnsi"/>
        </w:rPr>
      </w:pPr>
      <w:r>
        <w:rPr>
          <w:rFonts w:cstheme="minorHAnsi"/>
        </w:rPr>
        <w:t xml:space="preserve">Vi har mange der gerne vil starte med at pendle, ikke hver dag, men flere gange om måneden. Dette giver et </w:t>
      </w:r>
      <w:r w:rsidR="003D4E6A">
        <w:rPr>
          <w:rFonts w:cstheme="minorHAnsi"/>
        </w:rPr>
        <w:t>større</w:t>
      </w:r>
      <w:r>
        <w:rPr>
          <w:rFonts w:cstheme="minorHAnsi"/>
        </w:rPr>
        <w:t xml:space="preserve"> behov for mindre lejeboliger, der evt. kan deles. For det meste drejer det sig om plejepersonale til ældreområdet og her ville det være en fordel, at finde boliger udelukkende med dette formål og f.eks. med en klausul om tidsbegrænsning, eftersom målet er at personen skal blive </w:t>
      </w:r>
      <w:r w:rsidR="00845C8D">
        <w:rPr>
          <w:rFonts w:cstheme="minorHAnsi"/>
        </w:rPr>
        <w:t>fastboende</w:t>
      </w:r>
      <w:r>
        <w:rPr>
          <w:rFonts w:cstheme="minorHAnsi"/>
        </w:rPr>
        <w:t xml:space="preserve">. </w:t>
      </w:r>
    </w:p>
    <w:p w:rsidR="00DB4599" w:rsidRDefault="007739D9" w:rsidP="007054EC">
      <w:pPr>
        <w:rPr>
          <w:rFonts w:cstheme="minorHAnsi"/>
        </w:rPr>
      </w:pPr>
      <w:r>
        <w:rPr>
          <w:rFonts w:cstheme="minorHAnsi"/>
        </w:rPr>
        <w:t xml:space="preserve">For at man som tilflytter også ønsker at blive boende, er det for mange vigtigt at få skabt sig et netværk og et fællesskab. Mange gange har jeg koblet de nye tilflytteres fritidsinteresser sammen med de eksisterende foreninger og/eller de små grupper der mødes for dyrke fælles interesser. </w:t>
      </w:r>
    </w:p>
    <w:p w:rsidR="00E41BAB" w:rsidRDefault="00E41BAB" w:rsidP="007054EC">
      <w:pPr>
        <w:rPr>
          <w:rFonts w:cstheme="minorHAnsi"/>
        </w:rPr>
      </w:pPr>
    </w:p>
    <w:p w:rsidR="00E41BAB" w:rsidRDefault="00E41BAB" w:rsidP="007054EC">
      <w:pPr>
        <w:rPr>
          <w:rFonts w:cstheme="minorHAnsi"/>
        </w:rPr>
      </w:pPr>
      <w:r>
        <w:rPr>
          <w:noProof/>
          <w:lang w:eastAsia="da-DK"/>
        </w:rPr>
        <w:drawing>
          <wp:inline distT="0" distB="0" distL="0" distR="0" wp14:anchorId="7759FA2B" wp14:editId="7DB281F7">
            <wp:extent cx="5920967" cy="3802455"/>
            <wp:effectExtent l="0" t="0" r="3810" b="762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1BAB" w:rsidRDefault="00E41BAB" w:rsidP="003D4E6A">
      <w:pPr>
        <w:pStyle w:val="Ingenafstand"/>
      </w:pPr>
    </w:p>
    <w:p w:rsidR="003F673A" w:rsidRDefault="008A756C" w:rsidP="003D4E6A">
      <w:pPr>
        <w:pStyle w:val="Ingenafstand"/>
      </w:pPr>
      <w:r>
        <w:t>Betragtes de sidste fire års udvikling i Læsøs befolkningstal, ses det tydeligt at alle tal er steget fødsler og dødstal, til- og fraflytning samt ind- og udrejse. Dog ser vi også, at selvom antallet af tilflyttere og indrejste hver</w:t>
      </w:r>
      <w:r w:rsidR="00845C8D">
        <w:t>t</w:t>
      </w:r>
      <w:r>
        <w:t xml:space="preserve"> år er højere end tallet for fraflyttere og udrejste, så er det samlede befolkningstal faldende. Ser vi så på befolkningsfremskrivningen i Danmarks Statistik falder tallet </w:t>
      </w:r>
      <w:r w:rsidRPr="00E70A28">
        <w:t>fortsat</w:t>
      </w:r>
      <w:r w:rsidR="00964CF7">
        <w:rPr>
          <w:rStyle w:val="Fodnotehenvisning"/>
        </w:rPr>
        <w:footnoteReference w:id="6"/>
      </w:r>
      <w:r w:rsidRPr="00E70A28">
        <w:t>.</w:t>
      </w:r>
      <w:r>
        <w:t xml:space="preserve"> </w:t>
      </w:r>
    </w:p>
    <w:p w:rsidR="008A756C" w:rsidRDefault="008A756C" w:rsidP="003D4E6A">
      <w:pPr>
        <w:pStyle w:val="Ingenafstand"/>
      </w:pPr>
      <w:r>
        <w:t xml:space="preserve">Dette ses desværre ikke kun i Læsø Kommune, men er et fænomen, der ses i langt de fleste udkantsområder i hele Norden. Heldigvis har foreningen Landdistrikterne også fået øjnene op herfor og gør </w:t>
      </w:r>
      <w:r>
        <w:lastRenderedPageBreak/>
        <w:t>alt hvad de kan for at komme dette problem i møde f.eks. ved at kæmpe for billigere boliglån i disse områder</w:t>
      </w:r>
      <w:r w:rsidR="007739D9">
        <w:rPr>
          <w:rStyle w:val="Fodnotehenvisning"/>
        </w:rPr>
        <w:footnoteReference w:id="7"/>
      </w:r>
      <w:r>
        <w:t xml:space="preserve">. </w:t>
      </w:r>
    </w:p>
    <w:p w:rsidR="003D4E6A" w:rsidRPr="003D4E6A" w:rsidRDefault="003D4E6A" w:rsidP="003D4E6A">
      <w:pPr>
        <w:pStyle w:val="Ingenafstand"/>
      </w:pPr>
      <w:r w:rsidRPr="003D4E6A">
        <w:t>Læsøs overordnede og stigende udfordring, i forhold til at</w:t>
      </w:r>
      <w:r>
        <w:t xml:space="preserve"> </w:t>
      </w:r>
      <w:r w:rsidRPr="003D4E6A">
        <w:t>bibeholde et bæredygtigt helårssamfund, skal findes i den</w:t>
      </w:r>
      <w:r>
        <w:t xml:space="preserve"> </w:t>
      </w:r>
      <w:r w:rsidRPr="003D4E6A">
        <w:t>demografiske udvikling. Den skæve demografiske sammensætning</w:t>
      </w:r>
      <w:r>
        <w:t xml:space="preserve"> </w:t>
      </w:r>
      <w:r w:rsidRPr="003D4E6A">
        <w:t>med stort antal ældre, kritisk hurtigt faldende befolkningstal i den</w:t>
      </w:r>
      <w:r>
        <w:t xml:space="preserve"> </w:t>
      </w:r>
      <w:r w:rsidRPr="003D4E6A">
        <w:t>erhvervsaktive alder og et samlet dalende befolkningstal, skaber</w:t>
      </w:r>
    </w:p>
    <w:p w:rsidR="003D4E6A" w:rsidRPr="00A202D6" w:rsidRDefault="003D4E6A" w:rsidP="003D4E6A">
      <w:pPr>
        <w:pStyle w:val="Ingenafstand"/>
      </w:pPr>
      <w:r w:rsidRPr="003D4E6A">
        <w:t>store udfordringer for helårssamfundet Læsø og for kommunens</w:t>
      </w:r>
      <w:r>
        <w:t xml:space="preserve"> </w:t>
      </w:r>
      <w:r w:rsidRPr="003D4E6A">
        <w:t>økonomi. Den vigtigste løsning på udfordringen er at skabe et</w:t>
      </w:r>
      <w:r>
        <w:t xml:space="preserve"> </w:t>
      </w:r>
      <w:r w:rsidRPr="003D4E6A">
        <w:t>bæredygtigt fundament for bosætning. Dette indgår i nærmest alle landdistrikt</w:t>
      </w:r>
      <w:r w:rsidR="00845C8D">
        <w:t>skommuners strategiske mål. S</w:t>
      </w:r>
      <w:r w:rsidRPr="003D4E6A">
        <w:t xml:space="preserve">amtidigt er dette mål en af de sværeste udfordringer at skabe </w:t>
      </w:r>
      <w:r w:rsidR="00845C8D">
        <w:t xml:space="preserve">en </w:t>
      </w:r>
      <w:r w:rsidRPr="003D4E6A">
        <w:t>reel</w:t>
      </w:r>
      <w:r>
        <w:t xml:space="preserve"> </w:t>
      </w:r>
      <w:r w:rsidRPr="003D4E6A">
        <w:t>løsning på. Da Læsø har landets skæveste aldersfordeling samt</w:t>
      </w:r>
      <w:r>
        <w:t xml:space="preserve"> </w:t>
      </w:r>
      <w:r w:rsidRPr="003D4E6A">
        <w:t xml:space="preserve">den hurtigst dalende </w:t>
      </w:r>
      <w:r w:rsidR="00845C8D">
        <w:t>andel af befolkningen i den erhvervsaktive alder</w:t>
      </w:r>
      <w:r w:rsidRPr="003D4E6A">
        <w:t>, er det</w:t>
      </w:r>
      <w:r>
        <w:t xml:space="preserve"> </w:t>
      </w:r>
      <w:r w:rsidRPr="003D4E6A">
        <w:t>magtpåliggende fo</w:t>
      </w:r>
      <w:r w:rsidR="00845C8D">
        <w:t>r Læsø kommune, at der</w:t>
      </w:r>
      <w:r w:rsidRPr="003D4E6A">
        <w:t xml:space="preserve"> hurtigt finde</w:t>
      </w:r>
      <w:r w:rsidR="00845C8D">
        <w:t>s</w:t>
      </w:r>
      <w:r w:rsidRPr="003D4E6A">
        <w:t xml:space="preserve"> en konkret</w:t>
      </w:r>
      <w:r>
        <w:t xml:space="preserve"> </w:t>
      </w:r>
      <w:r w:rsidRPr="003D4E6A">
        <w:t>løsning til at skabe</w:t>
      </w:r>
      <w:r w:rsidR="00845C8D">
        <w:t xml:space="preserve"> øget</w:t>
      </w:r>
      <w:r w:rsidRPr="003D4E6A">
        <w:t xml:space="preserve"> bosætning. Bosætning af nye borgere drives</w:t>
      </w:r>
      <w:r>
        <w:t xml:space="preserve"> </w:t>
      </w:r>
      <w:r w:rsidRPr="003D4E6A">
        <w:t xml:space="preserve">frem af muligheder for </w:t>
      </w:r>
      <w:r>
        <w:t>a</w:t>
      </w:r>
      <w:r w:rsidRPr="003D4E6A">
        <w:t>rbejdspladser. Arbejdspladser skabes</w:t>
      </w:r>
      <w:r>
        <w:t xml:space="preserve"> </w:t>
      </w:r>
      <w:r w:rsidRPr="003D4E6A">
        <w:t xml:space="preserve">gennem vækst. Vækst skabes gennem </w:t>
      </w:r>
      <w:r w:rsidR="00270BA2">
        <w:t xml:space="preserve">en </w:t>
      </w:r>
      <w:r w:rsidRPr="003D4E6A">
        <w:t>målrettet strategisk indsats,</w:t>
      </w:r>
      <w:r w:rsidR="00270BA2">
        <w:t xml:space="preserve"> </w:t>
      </w:r>
      <w:r w:rsidRPr="003D4E6A">
        <w:t>inden for de erhvervsområder, som har et reelt vækstpotentiale på</w:t>
      </w:r>
      <w:r>
        <w:t xml:space="preserve"> </w:t>
      </w:r>
      <w:r w:rsidRPr="003D4E6A">
        <w:t>øen. Dette blev undersøgt og påvist af Implement Consulting for</w:t>
      </w:r>
      <w:r>
        <w:t xml:space="preserve"> </w:t>
      </w:r>
      <w:r w:rsidRPr="003D4E6A">
        <w:t>Læsø Kommune, i samarbejde med Realdania, KL og Ministeriet for</w:t>
      </w:r>
      <w:r>
        <w:t xml:space="preserve"> </w:t>
      </w:r>
      <w:r w:rsidRPr="003D4E6A">
        <w:t xml:space="preserve">By, Bolig og Landdistrikter. </w:t>
      </w:r>
    </w:p>
    <w:p w:rsidR="004845A5" w:rsidRDefault="004845A5" w:rsidP="00FC0969">
      <w:pPr>
        <w:rPr>
          <w:rFonts w:cstheme="minorHAnsi"/>
        </w:rPr>
      </w:pPr>
    </w:p>
    <w:p w:rsidR="00E50844" w:rsidRDefault="00E50844" w:rsidP="00FC0969">
      <w:pPr>
        <w:rPr>
          <w:rFonts w:cstheme="minorHAnsi"/>
        </w:rPr>
      </w:pPr>
    </w:p>
    <w:p w:rsidR="00E50844" w:rsidRDefault="00E50844" w:rsidP="00FC0969">
      <w:pPr>
        <w:rPr>
          <w:rFonts w:cstheme="minorHAnsi"/>
        </w:rPr>
      </w:pPr>
    </w:p>
    <w:p w:rsidR="00E50844" w:rsidRDefault="00E50844" w:rsidP="00FC0969">
      <w:pPr>
        <w:rPr>
          <w:rFonts w:cstheme="minorHAnsi"/>
        </w:rPr>
      </w:pPr>
    </w:p>
    <w:p w:rsidR="00E50844" w:rsidRDefault="00E50844" w:rsidP="00FC0969">
      <w:pPr>
        <w:rPr>
          <w:rFonts w:cstheme="minorHAnsi"/>
        </w:rPr>
      </w:pPr>
    </w:p>
    <w:p w:rsidR="00E50844" w:rsidRDefault="00E50844" w:rsidP="00FC0969">
      <w:pPr>
        <w:rPr>
          <w:rFonts w:cstheme="minorHAnsi"/>
        </w:rPr>
      </w:pPr>
    </w:p>
    <w:p w:rsidR="00E50844" w:rsidRDefault="00E50844" w:rsidP="00FC0969">
      <w:pPr>
        <w:rPr>
          <w:rFonts w:cstheme="minorHAnsi"/>
        </w:rPr>
      </w:pPr>
    </w:p>
    <w:p w:rsidR="00E50844" w:rsidRDefault="00E50844" w:rsidP="00FC0969">
      <w:pPr>
        <w:rPr>
          <w:rFonts w:cstheme="minorHAnsi"/>
        </w:rPr>
      </w:pPr>
    </w:p>
    <w:p w:rsidR="00E50844" w:rsidRDefault="00E50844" w:rsidP="00FC0969">
      <w:pPr>
        <w:rPr>
          <w:rFonts w:cstheme="minorHAnsi"/>
        </w:rPr>
      </w:pPr>
    </w:p>
    <w:p w:rsidR="00E50844" w:rsidRDefault="00E50844" w:rsidP="00FC0969">
      <w:pPr>
        <w:rPr>
          <w:rFonts w:cstheme="minorHAnsi"/>
        </w:rPr>
      </w:pPr>
    </w:p>
    <w:p w:rsidR="00E50844" w:rsidRDefault="00E50844" w:rsidP="00FC0969">
      <w:pPr>
        <w:rPr>
          <w:rFonts w:cstheme="minorHAnsi"/>
        </w:rPr>
      </w:pPr>
    </w:p>
    <w:p w:rsidR="00E50844" w:rsidRDefault="00E50844" w:rsidP="00FC0969">
      <w:pPr>
        <w:rPr>
          <w:rFonts w:cstheme="minorHAnsi"/>
        </w:rPr>
      </w:pPr>
    </w:p>
    <w:p w:rsidR="00E50844" w:rsidRDefault="00E50844" w:rsidP="00FC0969">
      <w:pPr>
        <w:rPr>
          <w:rFonts w:cstheme="minorHAnsi"/>
        </w:rPr>
      </w:pPr>
    </w:p>
    <w:p w:rsidR="00E50844" w:rsidRDefault="00E50844" w:rsidP="00FC0969">
      <w:pPr>
        <w:rPr>
          <w:rFonts w:cstheme="minorHAnsi"/>
        </w:rPr>
      </w:pPr>
    </w:p>
    <w:p w:rsidR="00E50844" w:rsidRDefault="00E50844" w:rsidP="00FC0969">
      <w:pPr>
        <w:rPr>
          <w:rFonts w:cstheme="minorHAnsi"/>
        </w:rPr>
      </w:pPr>
    </w:p>
    <w:p w:rsidR="00E50844" w:rsidRDefault="00E50844" w:rsidP="00FC0969">
      <w:pPr>
        <w:rPr>
          <w:rFonts w:cstheme="minorHAnsi"/>
        </w:rPr>
      </w:pPr>
    </w:p>
    <w:p w:rsidR="00E50844" w:rsidRDefault="00E50844" w:rsidP="00FC0969">
      <w:pPr>
        <w:rPr>
          <w:rFonts w:cstheme="minorHAnsi"/>
        </w:rPr>
      </w:pPr>
    </w:p>
    <w:p w:rsidR="00E50844" w:rsidRDefault="00E50844" w:rsidP="00FC0969">
      <w:pPr>
        <w:rPr>
          <w:rFonts w:cstheme="minorHAnsi"/>
        </w:rPr>
      </w:pPr>
    </w:p>
    <w:p w:rsidR="00E50844" w:rsidRDefault="00E50844" w:rsidP="00FC0969">
      <w:pPr>
        <w:rPr>
          <w:rFonts w:cstheme="minorHAnsi"/>
        </w:rPr>
      </w:pPr>
    </w:p>
    <w:p w:rsidR="00E50844" w:rsidRPr="00E50844" w:rsidRDefault="00E50844" w:rsidP="00FC0969">
      <w:pPr>
        <w:rPr>
          <w:rFonts w:cstheme="minorHAnsi"/>
          <w:b/>
          <w:sz w:val="28"/>
          <w:szCs w:val="28"/>
          <w:u w:val="single"/>
        </w:rPr>
      </w:pPr>
      <w:r w:rsidRPr="00E50844">
        <w:rPr>
          <w:rFonts w:cstheme="minorHAnsi"/>
          <w:b/>
          <w:sz w:val="28"/>
          <w:szCs w:val="28"/>
          <w:u w:val="single"/>
        </w:rPr>
        <w:lastRenderedPageBreak/>
        <w:t>Bilag</w:t>
      </w:r>
    </w:p>
    <w:p w:rsidR="00E50844" w:rsidRDefault="00E50844" w:rsidP="00FC0969">
      <w:pPr>
        <w:rPr>
          <w:rFonts w:cstheme="minorHAnsi"/>
        </w:rPr>
      </w:pPr>
      <w:r w:rsidRPr="00694AF1">
        <w:rPr>
          <w:noProof/>
          <w:lang w:eastAsia="da-DK"/>
        </w:rPr>
        <w:drawing>
          <wp:inline distT="0" distB="0" distL="0" distR="0" wp14:anchorId="4BAB6554" wp14:editId="095B2627">
            <wp:extent cx="6120130" cy="2762885"/>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2762885"/>
                    </a:xfrm>
                    <a:prstGeom prst="rect">
                      <a:avLst/>
                    </a:prstGeom>
                    <a:noFill/>
                    <a:ln>
                      <a:noFill/>
                    </a:ln>
                  </pic:spPr>
                </pic:pic>
              </a:graphicData>
            </a:graphic>
          </wp:inline>
        </w:drawing>
      </w:r>
    </w:p>
    <w:p w:rsidR="00E50844" w:rsidRDefault="00E50844" w:rsidP="00FC0969">
      <w:pPr>
        <w:rPr>
          <w:rFonts w:cstheme="minorHAnsi"/>
        </w:rPr>
      </w:pPr>
      <w:r w:rsidRPr="00694AF1">
        <w:rPr>
          <w:noProof/>
          <w:lang w:eastAsia="da-DK"/>
        </w:rPr>
        <w:drawing>
          <wp:inline distT="0" distB="0" distL="0" distR="0" wp14:anchorId="4C19075B" wp14:editId="773BFE9A">
            <wp:extent cx="6120130" cy="263334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2633345"/>
                    </a:xfrm>
                    <a:prstGeom prst="rect">
                      <a:avLst/>
                    </a:prstGeom>
                    <a:noFill/>
                    <a:ln>
                      <a:noFill/>
                    </a:ln>
                  </pic:spPr>
                </pic:pic>
              </a:graphicData>
            </a:graphic>
          </wp:inline>
        </w:drawing>
      </w:r>
    </w:p>
    <w:p w:rsidR="00E50844" w:rsidRDefault="00E50844" w:rsidP="00FC0969">
      <w:pPr>
        <w:rPr>
          <w:rFonts w:cstheme="minorHAnsi"/>
        </w:rPr>
      </w:pPr>
      <w:r w:rsidRPr="00694AF1">
        <w:rPr>
          <w:noProof/>
          <w:lang w:eastAsia="da-DK"/>
        </w:rPr>
        <w:drawing>
          <wp:inline distT="0" distB="0" distL="0" distR="0" wp14:anchorId="4225F9B1" wp14:editId="45E8CD7F">
            <wp:extent cx="6120130" cy="2498090"/>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2498090"/>
                    </a:xfrm>
                    <a:prstGeom prst="rect">
                      <a:avLst/>
                    </a:prstGeom>
                    <a:noFill/>
                    <a:ln>
                      <a:noFill/>
                    </a:ln>
                  </pic:spPr>
                </pic:pic>
              </a:graphicData>
            </a:graphic>
          </wp:inline>
        </w:drawing>
      </w:r>
    </w:p>
    <w:p w:rsidR="00E50844" w:rsidRPr="00A202D6" w:rsidRDefault="00E50844" w:rsidP="00FC0969">
      <w:pPr>
        <w:rPr>
          <w:rFonts w:cstheme="minorHAnsi"/>
        </w:rPr>
      </w:pPr>
      <w:r w:rsidRPr="00694AF1">
        <w:rPr>
          <w:noProof/>
          <w:lang w:eastAsia="da-DK"/>
        </w:rPr>
        <w:lastRenderedPageBreak/>
        <w:drawing>
          <wp:inline distT="0" distB="0" distL="0" distR="0" wp14:anchorId="2681909F" wp14:editId="5395FD73">
            <wp:extent cx="6120130" cy="2498090"/>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2498090"/>
                    </a:xfrm>
                    <a:prstGeom prst="rect">
                      <a:avLst/>
                    </a:prstGeom>
                    <a:noFill/>
                    <a:ln>
                      <a:noFill/>
                    </a:ln>
                  </pic:spPr>
                </pic:pic>
              </a:graphicData>
            </a:graphic>
          </wp:inline>
        </w:drawing>
      </w:r>
    </w:p>
    <w:sectPr w:rsidR="00E50844" w:rsidRPr="00A202D6">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656" w:rsidRDefault="007A0656" w:rsidP="00AF6CFD">
      <w:pPr>
        <w:spacing w:after="0" w:line="240" w:lineRule="auto"/>
      </w:pPr>
      <w:r>
        <w:separator/>
      </w:r>
    </w:p>
  </w:endnote>
  <w:endnote w:type="continuationSeparator" w:id="0">
    <w:p w:rsidR="007A0656" w:rsidRDefault="007A0656" w:rsidP="00AF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274161"/>
      <w:docPartObj>
        <w:docPartGallery w:val="Page Numbers (Bottom of Page)"/>
        <w:docPartUnique/>
      </w:docPartObj>
    </w:sdtPr>
    <w:sdtEndPr/>
    <w:sdtContent>
      <w:p w:rsidR="00AF6CFD" w:rsidRDefault="00AF6CFD">
        <w:pPr>
          <w:pStyle w:val="Sidefod"/>
          <w:jc w:val="center"/>
        </w:pPr>
        <w:r>
          <w:fldChar w:fldCharType="begin"/>
        </w:r>
        <w:r>
          <w:instrText>PAGE   \* MERGEFORMAT</w:instrText>
        </w:r>
        <w:r>
          <w:fldChar w:fldCharType="separate"/>
        </w:r>
        <w:r w:rsidR="002D0846">
          <w:rPr>
            <w:noProof/>
          </w:rPr>
          <w:t>4</w:t>
        </w:r>
        <w:r>
          <w:fldChar w:fldCharType="end"/>
        </w:r>
      </w:p>
    </w:sdtContent>
  </w:sdt>
  <w:p w:rsidR="00AF6CFD" w:rsidRDefault="00AF6CF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656" w:rsidRDefault="007A0656" w:rsidP="00AF6CFD">
      <w:pPr>
        <w:spacing w:after="0" w:line="240" w:lineRule="auto"/>
      </w:pPr>
      <w:r>
        <w:separator/>
      </w:r>
    </w:p>
  </w:footnote>
  <w:footnote w:type="continuationSeparator" w:id="0">
    <w:p w:rsidR="007A0656" w:rsidRDefault="007A0656" w:rsidP="00AF6CFD">
      <w:pPr>
        <w:spacing w:after="0" w:line="240" w:lineRule="auto"/>
      </w:pPr>
      <w:r>
        <w:continuationSeparator/>
      </w:r>
    </w:p>
  </w:footnote>
  <w:footnote w:id="1">
    <w:p w:rsidR="00C55E07" w:rsidRDefault="00C55E07">
      <w:pPr>
        <w:pStyle w:val="Fodnotetekst"/>
      </w:pPr>
      <w:r>
        <w:rPr>
          <w:rStyle w:val="Fodnotehenvisning"/>
        </w:rPr>
        <w:footnoteRef/>
      </w:r>
      <w:r>
        <w:t xml:space="preserve"> </w:t>
      </w:r>
      <w:r w:rsidRPr="00C55E07">
        <w:t>https://www.statistikbanken.dk/statbank5a/default.asp?w=2560</w:t>
      </w:r>
    </w:p>
  </w:footnote>
  <w:footnote w:id="2">
    <w:p w:rsidR="00230696" w:rsidRDefault="00230696">
      <w:pPr>
        <w:pStyle w:val="Fodnotetekst"/>
      </w:pPr>
      <w:r>
        <w:rPr>
          <w:rStyle w:val="Fodnotehenvisning"/>
        </w:rPr>
        <w:footnoteRef/>
      </w:r>
      <w:r>
        <w:t xml:space="preserve"> </w:t>
      </w:r>
      <w:r w:rsidRPr="00230696">
        <w:t>https://www.statistikbanken.dk/statbank5a/default.asp?w=2560</w:t>
      </w:r>
    </w:p>
  </w:footnote>
  <w:footnote w:id="3">
    <w:p w:rsidR="00F5184A" w:rsidRDefault="00F5184A">
      <w:pPr>
        <w:pStyle w:val="Fodnotetekst"/>
      </w:pPr>
      <w:r>
        <w:rPr>
          <w:rStyle w:val="Fodnotehenvisning"/>
        </w:rPr>
        <w:footnoteRef/>
      </w:r>
      <w:r>
        <w:t xml:space="preserve"> </w:t>
      </w:r>
      <w:r w:rsidRPr="00F5184A">
        <w:t>https://www.boligsiden.dk/nyheder/2022/01/tjek-din-kommune-saa-mange-boliger-er-der-solgt-i-2021/?fbclid=IwAR0zQmivrynGrM-2ioH14xapbMc5esz8zA__Edm_3ybZs7pQrb77Tidpzes</w:t>
      </w:r>
    </w:p>
  </w:footnote>
  <w:footnote w:id="4">
    <w:p w:rsidR="00DB4599" w:rsidRDefault="00DB4599">
      <w:pPr>
        <w:pStyle w:val="Fodnotetekst"/>
      </w:pPr>
      <w:r>
        <w:rPr>
          <w:rStyle w:val="Fodnotehenvisning"/>
        </w:rPr>
        <w:footnoteRef/>
      </w:r>
      <w:r>
        <w:t xml:space="preserve"> </w:t>
      </w:r>
      <w:r w:rsidRPr="00DB4599">
        <w:t>https://via.ritzau.dk/pressemeddelelse/danskerne-vil-bo-i-dragor?publisherId=13559512&amp;releaseId=13597805</w:t>
      </w:r>
    </w:p>
  </w:footnote>
  <w:footnote w:id="5">
    <w:p w:rsidR="0076583C" w:rsidRDefault="0076583C">
      <w:pPr>
        <w:pStyle w:val="Fodnotetekst"/>
      </w:pPr>
      <w:r>
        <w:rPr>
          <w:rStyle w:val="Fodnotehenvisning"/>
        </w:rPr>
        <w:footnoteRef/>
      </w:r>
      <w:r>
        <w:t xml:space="preserve"> </w:t>
      </w:r>
      <w:r w:rsidRPr="0076583C">
        <w:t>https://via.ritzau.dk/pressemeddelelse/flere-midler-til-almene-boliger-pa-oerne?publisherId=4127023&amp;releaseId=13637338</w:t>
      </w:r>
    </w:p>
  </w:footnote>
  <w:footnote w:id="6">
    <w:p w:rsidR="00964CF7" w:rsidRDefault="00964CF7">
      <w:pPr>
        <w:pStyle w:val="Fodnotetekst"/>
      </w:pPr>
      <w:r>
        <w:rPr>
          <w:rStyle w:val="Fodnotehenvisning"/>
        </w:rPr>
        <w:footnoteRef/>
      </w:r>
      <w:r>
        <w:t xml:space="preserve"> </w:t>
      </w:r>
      <w:r w:rsidRPr="00964CF7">
        <w:t>https://www.statistikbanken.dk/statbank5a/default.asp?w=2560</w:t>
      </w:r>
    </w:p>
  </w:footnote>
  <w:footnote w:id="7">
    <w:p w:rsidR="007739D9" w:rsidRDefault="007739D9">
      <w:pPr>
        <w:pStyle w:val="Fodnotetekst"/>
      </w:pPr>
      <w:r>
        <w:rPr>
          <w:rStyle w:val="Fodnotehenvisning"/>
        </w:rPr>
        <w:footnoteRef/>
      </w:r>
      <w:r>
        <w:t xml:space="preserve"> </w:t>
      </w:r>
      <w:r w:rsidRPr="007739D9">
        <w:t>https://via.ritzau.dk/pressemeddelelse/landdistrikter-statsgaranti-pa-boliglan-giver-landdistriktsborgere-et-staerkt-kort-pa-handen?publisherId=4127023&amp;releaseId=13636310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06625"/>
    <w:multiLevelType w:val="hybridMultilevel"/>
    <w:tmpl w:val="C6F8B2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00401B"/>
    <w:multiLevelType w:val="hybridMultilevel"/>
    <w:tmpl w:val="6F7693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9670646"/>
    <w:multiLevelType w:val="hybridMultilevel"/>
    <w:tmpl w:val="9C723C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C836497"/>
    <w:multiLevelType w:val="hybridMultilevel"/>
    <w:tmpl w:val="686A14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03F6DE3"/>
    <w:multiLevelType w:val="hybridMultilevel"/>
    <w:tmpl w:val="F528B3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D7E02B7"/>
    <w:multiLevelType w:val="hybridMultilevel"/>
    <w:tmpl w:val="864CA9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235551D"/>
    <w:multiLevelType w:val="hybridMultilevel"/>
    <w:tmpl w:val="0D803A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EB24164"/>
    <w:multiLevelType w:val="hybridMultilevel"/>
    <w:tmpl w:val="9A2864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1F"/>
    <w:rsid w:val="000656F2"/>
    <w:rsid w:val="00071851"/>
    <w:rsid w:val="00083D9D"/>
    <w:rsid w:val="000A632D"/>
    <w:rsid w:val="000C1451"/>
    <w:rsid w:val="000C238E"/>
    <w:rsid w:val="000C5D8E"/>
    <w:rsid w:val="001312FA"/>
    <w:rsid w:val="001458C3"/>
    <w:rsid w:val="00156A20"/>
    <w:rsid w:val="001D1C0B"/>
    <w:rsid w:val="001E0970"/>
    <w:rsid w:val="0021122D"/>
    <w:rsid w:val="0021404D"/>
    <w:rsid w:val="00230696"/>
    <w:rsid w:val="00270BA2"/>
    <w:rsid w:val="00290AE1"/>
    <w:rsid w:val="002A0063"/>
    <w:rsid w:val="002A0747"/>
    <w:rsid w:val="002D0846"/>
    <w:rsid w:val="00300397"/>
    <w:rsid w:val="00304707"/>
    <w:rsid w:val="00362D27"/>
    <w:rsid w:val="00384BB4"/>
    <w:rsid w:val="003D4E6A"/>
    <w:rsid w:val="003F673A"/>
    <w:rsid w:val="00402D41"/>
    <w:rsid w:val="004375E0"/>
    <w:rsid w:val="00446FF3"/>
    <w:rsid w:val="00464034"/>
    <w:rsid w:val="00482927"/>
    <w:rsid w:val="004845A5"/>
    <w:rsid w:val="00487D6A"/>
    <w:rsid w:val="004B7884"/>
    <w:rsid w:val="005037B6"/>
    <w:rsid w:val="0052604F"/>
    <w:rsid w:val="005B20E6"/>
    <w:rsid w:val="00670AA3"/>
    <w:rsid w:val="00694AF1"/>
    <w:rsid w:val="006A025B"/>
    <w:rsid w:val="006A18B3"/>
    <w:rsid w:val="007003BE"/>
    <w:rsid w:val="007020F4"/>
    <w:rsid w:val="007054EC"/>
    <w:rsid w:val="007114D0"/>
    <w:rsid w:val="00726BCF"/>
    <w:rsid w:val="0075321C"/>
    <w:rsid w:val="0076312F"/>
    <w:rsid w:val="0076583C"/>
    <w:rsid w:val="007739D9"/>
    <w:rsid w:val="007953A1"/>
    <w:rsid w:val="007A0656"/>
    <w:rsid w:val="007A1EF1"/>
    <w:rsid w:val="00812C02"/>
    <w:rsid w:val="00830597"/>
    <w:rsid w:val="008345F1"/>
    <w:rsid w:val="008358BA"/>
    <w:rsid w:val="00845C8D"/>
    <w:rsid w:val="00865E76"/>
    <w:rsid w:val="00887BE2"/>
    <w:rsid w:val="008A756C"/>
    <w:rsid w:val="008B1FB7"/>
    <w:rsid w:val="008D355F"/>
    <w:rsid w:val="00964CF7"/>
    <w:rsid w:val="009A0B16"/>
    <w:rsid w:val="00A202D6"/>
    <w:rsid w:val="00A210B9"/>
    <w:rsid w:val="00A27424"/>
    <w:rsid w:val="00A4601A"/>
    <w:rsid w:val="00A4693D"/>
    <w:rsid w:val="00A84DDD"/>
    <w:rsid w:val="00A8552C"/>
    <w:rsid w:val="00AA79A0"/>
    <w:rsid w:val="00AD0E01"/>
    <w:rsid w:val="00AF6CFD"/>
    <w:rsid w:val="00BF48D2"/>
    <w:rsid w:val="00C52F4A"/>
    <w:rsid w:val="00C55E07"/>
    <w:rsid w:val="00C65897"/>
    <w:rsid w:val="00C734C7"/>
    <w:rsid w:val="00C778CF"/>
    <w:rsid w:val="00CB4A1F"/>
    <w:rsid w:val="00D0016F"/>
    <w:rsid w:val="00D010F9"/>
    <w:rsid w:val="00D13E9F"/>
    <w:rsid w:val="00D80F7B"/>
    <w:rsid w:val="00DA7327"/>
    <w:rsid w:val="00DA73BC"/>
    <w:rsid w:val="00DB4599"/>
    <w:rsid w:val="00E41BAB"/>
    <w:rsid w:val="00E432E5"/>
    <w:rsid w:val="00E50844"/>
    <w:rsid w:val="00E70A28"/>
    <w:rsid w:val="00E81876"/>
    <w:rsid w:val="00EA1862"/>
    <w:rsid w:val="00EF2B7F"/>
    <w:rsid w:val="00F177B0"/>
    <w:rsid w:val="00F30437"/>
    <w:rsid w:val="00F5184A"/>
    <w:rsid w:val="00F71499"/>
    <w:rsid w:val="00F72F96"/>
    <w:rsid w:val="00F7435B"/>
    <w:rsid w:val="00F827D0"/>
    <w:rsid w:val="00FC0969"/>
    <w:rsid w:val="00FD27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C757"/>
  <w15:docId w15:val="{C3D2833F-DB27-429E-A42F-22FD6F5B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C0969"/>
    <w:rPr>
      <w:color w:val="0000FF"/>
      <w:u w:val="single"/>
    </w:rPr>
  </w:style>
  <w:style w:type="paragraph" w:styleId="Listeafsnit">
    <w:name w:val="List Paragraph"/>
    <w:basedOn w:val="Normal"/>
    <w:uiPriority w:val="34"/>
    <w:qFormat/>
    <w:rsid w:val="00D0016F"/>
    <w:pPr>
      <w:ind w:left="720"/>
      <w:contextualSpacing/>
    </w:pPr>
  </w:style>
  <w:style w:type="paragraph" w:styleId="Markeringsbobletekst">
    <w:name w:val="Balloon Text"/>
    <w:basedOn w:val="Normal"/>
    <w:link w:val="MarkeringsbobletekstTegn"/>
    <w:uiPriority w:val="99"/>
    <w:semiHidden/>
    <w:unhideWhenUsed/>
    <w:rsid w:val="006A18B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A18B3"/>
    <w:rPr>
      <w:rFonts w:ascii="Segoe UI" w:hAnsi="Segoe UI" w:cs="Segoe UI"/>
      <w:sz w:val="18"/>
      <w:szCs w:val="18"/>
    </w:rPr>
  </w:style>
  <w:style w:type="paragraph" w:styleId="Sidehoved">
    <w:name w:val="header"/>
    <w:basedOn w:val="Normal"/>
    <w:link w:val="SidehovedTegn"/>
    <w:uiPriority w:val="99"/>
    <w:unhideWhenUsed/>
    <w:rsid w:val="00AF6CF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F6CFD"/>
  </w:style>
  <w:style w:type="paragraph" w:styleId="Sidefod">
    <w:name w:val="footer"/>
    <w:basedOn w:val="Normal"/>
    <w:link w:val="SidefodTegn"/>
    <w:uiPriority w:val="99"/>
    <w:unhideWhenUsed/>
    <w:rsid w:val="00AF6CF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F6CFD"/>
  </w:style>
  <w:style w:type="paragraph" w:styleId="Ingenafstand">
    <w:name w:val="No Spacing"/>
    <w:uiPriority w:val="1"/>
    <w:qFormat/>
    <w:rsid w:val="003D4E6A"/>
    <w:pPr>
      <w:spacing w:after="0" w:line="240" w:lineRule="auto"/>
    </w:pPr>
  </w:style>
  <w:style w:type="table" w:styleId="Tabel-Gitter">
    <w:name w:val="Table Grid"/>
    <w:basedOn w:val="Tabel-Normal"/>
    <w:uiPriority w:val="39"/>
    <w:rsid w:val="006A0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C55E0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55E07"/>
    <w:rPr>
      <w:sz w:val="20"/>
      <w:szCs w:val="20"/>
    </w:rPr>
  </w:style>
  <w:style w:type="character" w:styleId="Fodnotehenvisning">
    <w:name w:val="footnote reference"/>
    <w:basedOn w:val="Standardskrifttypeiafsnit"/>
    <w:uiPriority w:val="99"/>
    <w:semiHidden/>
    <w:unhideWhenUsed/>
    <w:rsid w:val="00C55E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08034">
      <w:bodyDiv w:val="1"/>
      <w:marLeft w:val="0"/>
      <w:marRight w:val="0"/>
      <w:marTop w:val="0"/>
      <w:marBottom w:val="0"/>
      <w:divBdr>
        <w:top w:val="none" w:sz="0" w:space="0" w:color="auto"/>
        <w:left w:val="none" w:sz="0" w:space="0" w:color="auto"/>
        <w:bottom w:val="none" w:sz="0" w:space="0" w:color="auto"/>
        <w:right w:val="none" w:sz="0" w:space="0" w:color="auto"/>
      </w:divBdr>
    </w:div>
    <w:div w:id="765804868">
      <w:bodyDiv w:val="1"/>
      <w:marLeft w:val="0"/>
      <w:marRight w:val="0"/>
      <w:marTop w:val="0"/>
      <w:marBottom w:val="0"/>
      <w:divBdr>
        <w:top w:val="none" w:sz="0" w:space="0" w:color="auto"/>
        <w:left w:val="none" w:sz="0" w:space="0" w:color="auto"/>
        <w:bottom w:val="none" w:sz="0" w:space="0" w:color="auto"/>
        <w:right w:val="none" w:sz="0" w:space="0" w:color="auto"/>
      </w:divBdr>
    </w:div>
    <w:div w:id="907156346">
      <w:bodyDiv w:val="1"/>
      <w:marLeft w:val="0"/>
      <w:marRight w:val="0"/>
      <w:marTop w:val="0"/>
      <w:marBottom w:val="0"/>
      <w:divBdr>
        <w:top w:val="none" w:sz="0" w:space="0" w:color="auto"/>
        <w:left w:val="none" w:sz="0" w:space="0" w:color="auto"/>
        <w:bottom w:val="none" w:sz="0" w:space="0" w:color="auto"/>
        <w:right w:val="none" w:sz="0" w:space="0" w:color="auto"/>
      </w:divBdr>
    </w:div>
    <w:div w:id="1222181756">
      <w:bodyDiv w:val="1"/>
      <w:marLeft w:val="0"/>
      <w:marRight w:val="0"/>
      <w:marTop w:val="0"/>
      <w:marBottom w:val="0"/>
      <w:divBdr>
        <w:top w:val="none" w:sz="0" w:space="0" w:color="auto"/>
        <w:left w:val="none" w:sz="0" w:space="0" w:color="auto"/>
        <w:bottom w:val="none" w:sz="0" w:space="0" w:color="auto"/>
        <w:right w:val="none" w:sz="0" w:space="0" w:color="auto"/>
      </w:divBdr>
    </w:div>
    <w:div w:id="1483811546">
      <w:bodyDiv w:val="1"/>
      <w:marLeft w:val="0"/>
      <w:marRight w:val="0"/>
      <w:marTop w:val="0"/>
      <w:marBottom w:val="0"/>
      <w:divBdr>
        <w:top w:val="none" w:sz="0" w:space="0" w:color="auto"/>
        <w:left w:val="none" w:sz="0" w:space="0" w:color="auto"/>
        <w:bottom w:val="none" w:sz="0" w:space="0" w:color="auto"/>
        <w:right w:val="none" w:sz="0" w:space="0" w:color="auto"/>
      </w:divBdr>
    </w:div>
    <w:div w:id="190063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regneark.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regneark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a\Desktop\L&#198;S&#216;%20BEFOLKNINGSTAL%202018-2019-2020-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sz="1800" b="1" i="0" cap="all" baseline="0">
                <a:effectLst/>
              </a:rPr>
              <a:t>Alder på tilflyttere 2019-2021</a:t>
            </a:r>
            <a:endParaRPr lang="da-DK">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'Ark1'!$AI$85</c:f>
              <c:strCache>
                <c:ptCount val="1"/>
                <c:pt idx="0">
                  <c:v>Tilflyttere 2021 </c:v>
                </c:pt>
              </c:strCache>
            </c:strRef>
          </c:tx>
          <c:spPr>
            <a:solidFill>
              <a:schemeClr val="accent1"/>
            </a:solidFill>
            <a:ln>
              <a:noFill/>
            </a:ln>
            <a:effectLst/>
          </c:spPr>
          <c:invertIfNegative val="0"/>
          <c:cat>
            <c:strRef>
              <c:f>'Ark1'!$AH$86:$AH$100</c:f>
              <c:strCache>
                <c:ptCount val="15"/>
                <c:pt idx="0">
                  <c:v>0-5 år</c:v>
                </c:pt>
                <c:pt idx="1">
                  <c:v>6-16 år</c:v>
                </c:pt>
                <c:pt idx="2">
                  <c:v>17-19 år</c:v>
                </c:pt>
                <c:pt idx="3">
                  <c:v>20-24 år</c:v>
                </c:pt>
                <c:pt idx="4">
                  <c:v>25-29 år</c:v>
                </c:pt>
                <c:pt idx="5">
                  <c:v>30-34 år</c:v>
                </c:pt>
                <c:pt idx="6">
                  <c:v>35-39 år</c:v>
                </c:pt>
                <c:pt idx="7">
                  <c:v>40-44 år</c:v>
                </c:pt>
                <c:pt idx="8">
                  <c:v>45-49 år</c:v>
                </c:pt>
                <c:pt idx="9">
                  <c:v>50-54 år</c:v>
                </c:pt>
                <c:pt idx="10">
                  <c:v>55-59 år</c:v>
                </c:pt>
                <c:pt idx="11">
                  <c:v>60-64 år</c:v>
                </c:pt>
                <c:pt idx="12">
                  <c:v>65-74 år</c:v>
                </c:pt>
                <c:pt idx="13">
                  <c:v>75-84 år</c:v>
                </c:pt>
                <c:pt idx="14">
                  <c:v>85 + år</c:v>
                </c:pt>
              </c:strCache>
            </c:strRef>
          </c:cat>
          <c:val>
            <c:numRef>
              <c:f>'Ark1'!$AI$86:$AI$100</c:f>
              <c:numCache>
                <c:formatCode>General</c:formatCode>
                <c:ptCount val="15"/>
                <c:pt idx="0">
                  <c:v>8</c:v>
                </c:pt>
                <c:pt idx="1">
                  <c:v>6</c:v>
                </c:pt>
                <c:pt idx="2">
                  <c:v>6</c:v>
                </c:pt>
                <c:pt idx="3">
                  <c:v>18</c:v>
                </c:pt>
                <c:pt idx="4">
                  <c:v>9</c:v>
                </c:pt>
                <c:pt idx="5">
                  <c:v>7</c:v>
                </c:pt>
                <c:pt idx="6">
                  <c:v>5</c:v>
                </c:pt>
                <c:pt idx="7">
                  <c:v>11</c:v>
                </c:pt>
                <c:pt idx="8">
                  <c:v>10</c:v>
                </c:pt>
                <c:pt idx="9">
                  <c:v>18</c:v>
                </c:pt>
                <c:pt idx="10">
                  <c:v>17</c:v>
                </c:pt>
                <c:pt idx="11">
                  <c:v>10</c:v>
                </c:pt>
                <c:pt idx="12">
                  <c:v>18</c:v>
                </c:pt>
                <c:pt idx="13">
                  <c:v>3</c:v>
                </c:pt>
              </c:numCache>
            </c:numRef>
          </c:val>
          <c:extLst>
            <c:ext xmlns:c16="http://schemas.microsoft.com/office/drawing/2014/chart" uri="{C3380CC4-5D6E-409C-BE32-E72D297353CC}">
              <c16:uniqueId val="{00000000-638E-4960-8DCC-AC2CC5D249F1}"/>
            </c:ext>
          </c:extLst>
        </c:ser>
        <c:ser>
          <c:idx val="1"/>
          <c:order val="1"/>
          <c:tx>
            <c:strRef>
              <c:f>'Ark1'!$AJ$85</c:f>
              <c:strCache>
                <c:ptCount val="1"/>
                <c:pt idx="0">
                  <c:v>Tilflyttere 2020</c:v>
                </c:pt>
              </c:strCache>
            </c:strRef>
          </c:tx>
          <c:spPr>
            <a:solidFill>
              <a:schemeClr val="accent2"/>
            </a:solidFill>
            <a:ln>
              <a:noFill/>
            </a:ln>
            <a:effectLst/>
          </c:spPr>
          <c:invertIfNegative val="0"/>
          <c:cat>
            <c:strRef>
              <c:f>'Ark1'!$AH$86:$AH$100</c:f>
              <c:strCache>
                <c:ptCount val="15"/>
                <c:pt idx="0">
                  <c:v>0-5 år</c:v>
                </c:pt>
                <c:pt idx="1">
                  <c:v>6-16 år</c:v>
                </c:pt>
                <c:pt idx="2">
                  <c:v>17-19 år</c:v>
                </c:pt>
                <c:pt idx="3">
                  <c:v>20-24 år</c:v>
                </c:pt>
                <c:pt idx="4">
                  <c:v>25-29 år</c:v>
                </c:pt>
                <c:pt idx="5">
                  <c:v>30-34 år</c:v>
                </c:pt>
                <c:pt idx="6">
                  <c:v>35-39 år</c:v>
                </c:pt>
                <c:pt idx="7">
                  <c:v>40-44 år</c:v>
                </c:pt>
                <c:pt idx="8">
                  <c:v>45-49 år</c:v>
                </c:pt>
                <c:pt idx="9">
                  <c:v>50-54 år</c:v>
                </c:pt>
                <c:pt idx="10">
                  <c:v>55-59 år</c:v>
                </c:pt>
                <c:pt idx="11">
                  <c:v>60-64 år</c:v>
                </c:pt>
                <c:pt idx="12">
                  <c:v>65-74 år</c:v>
                </c:pt>
                <c:pt idx="13">
                  <c:v>75-84 år</c:v>
                </c:pt>
                <c:pt idx="14">
                  <c:v>85 + år</c:v>
                </c:pt>
              </c:strCache>
            </c:strRef>
          </c:cat>
          <c:val>
            <c:numRef>
              <c:f>'Ark1'!$AJ$86:$AJ$100</c:f>
              <c:numCache>
                <c:formatCode>General</c:formatCode>
                <c:ptCount val="15"/>
                <c:pt idx="0">
                  <c:v>5</c:v>
                </c:pt>
                <c:pt idx="1">
                  <c:v>5</c:v>
                </c:pt>
                <c:pt idx="2">
                  <c:v>4</c:v>
                </c:pt>
                <c:pt idx="3">
                  <c:v>14</c:v>
                </c:pt>
                <c:pt idx="4">
                  <c:v>7</c:v>
                </c:pt>
                <c:pt idx="5">
                  <c:v>12</c:v>
                </c:pt>
                <c:pt idx="6">
                  <c:v>2</c:v>
                </c:pt>
                <c:pt idx="7">
                  <c:v>1</c:v>
                </c:pt>
                <c:pt idx="8">
                  <c:v>7</c:v>
                </c:pt>
                <c:pt idx="9">
                  <c:v>8</c:v>
                </c:pt>
                <c:pt idx="10">
                  <c:v>4</c:v>
                </c:pt>
                <c:pt idx="11">
                  <c:v>2</c:v>
                </c:pt>
                <c:pt idx="12">
                  <c:v>7</c:v>
                </c:pt>
                <c:pt idx="13">
                  <c:v>2</c:v>
                </c:pt>
                <c:pt idx="14">
                  <c:v>1</c:v>
                </c:pt>
              </c:numCache>
            </c:numRef>
          </c:val>
          <c:extLst>
            <c:ext xmlns:c16="http://schemas.microsoft.com/office/drawing/2014/chart" uri="{C3380CC4-5D6E-409C-BE32-E72D297353CC}">
              <c16:uniqueId val="{00000001-638E-4960-8DCC-AC2CC5D249F1}"/>
            </c:ext>
          </c:extLst>
        </c:ser>
        <c:ser>
          <c:idx val="2"/>
          <c:order val="2"/>
          <c:tx>
            <c:strRef>
              <c:f>'Ark1'!$AK$85</c:f>
              <c:strCache>
                <c:ptCount val="1"/>
                <c:pt idx="0">
                  <c:v>Tilflyttere 2019</c:v>
                </c:pt>
              </c:strCache>
            </c:strRef>
          </c:tx>
          <c:spPr>
            <a:solidFill>
              <a:schemeClr val="accent3"/>
            </a:solidFill>
            <a:ln>
              <a:noFill/>
            </a:ln>
            <a:effectLst/>
          </c:spPr>
          <c:invertIfNegative val="0"/>
          <c:cat>
            <c:strRef>
              <c:f>'Ark1'!$AH$86:$AH$100</c:f>
              <c:strCache>
                <c:ptCount val="15"/>
                <c:pt idx="0">
                  <c:v>0-5 år</c:v>
                </c:pt>
                <c:pt idx="1">
                  <c:v>6-16 år</c:v>
                </c:pt>
                <c:pt idx="2">
                  <c:v>17-19 år</c:v>
                </c:pt>
                <c:pt idx="3">
                  <c:v>20-24 år</c:v>
                </c:pt>
                <c:pt idx="4">
                  <c:v>25-29 år</c:v>
                </c:pt>
                <c:pt idx="5">
                  <c:v>30-34 år</c:v>
                </c:pt>
                <c:pt idx="6">
                  <c:v>35-39 år</c:v>
                </c:pt>
                <c:pt idx="7">
                  <c:v>40-44 år</c:v>
                </c:pt>
                <c:pt idx="8">
                  <c:v>45-49 år</c:v>
                </c:pt>
                <c:pt idx="9">
                  <c:v>50-54 år</c:v>
                </c:pt>
                <c:pt idx="10">
                  <c:v>55-59 år</c:v>
                </c:pt>
                <c:pt idx="11">
                  <c:v>60-64 år</c:v>
                </c:pt>
                <c:pt idx="12">
                  <c:v>65-74 år</c:v>
                </c:pt>
                <c:pt idx="13">
                  <c:v>75-84 år</c:v>
                </c:pt>
                <c:pt idx="14">
                  <c:v>85 + år</c:v>
                </c:pt>
              </c:strCache>
            </c:strRef>
          </c:cat>
          <c:val>
            <c:numRef>
              <c:f>'Ark1'!$AK$86:$AK$100</c:f>
              <c:numCache>
                <c:formatCode>General</c:formatCode>
                <c:ptCount val="15"/>
                <c:pt idx="0">
                  <c:v>2</c:v>
                </c:pt>
                <c:pt idx="1">
                  <c:v>15</c:v>
                </c:pt>
                <c:pt idx="2">
                  <c:v>7</c:v>
                </c:pt>
                <c:pt idx="3">
                  <c:v>19</c:v>
                </c:pt>
                <c:pt idx="4">
                  <c:v>7</c:v>
                </c:pt>
                <c:pt idx="5">
                  <c:v>7</c:v>
                </c:pt>
                <c:pt idx="7">
                  <c:v>7</c:v>
                </c:pt>
                <c:pt idx="8">
                  <c:v>9</c:v>
                </c:pt>
                <c:pt idx="9">
                  <c:v>13</c:v>
                </c:pt>
                <c:pt idx="10">
                  <c:v>15</c:v>
                </c:pt>
                <c:pt idx="11">
                  <c:v>7</c:v>
                </c:pt>
                <c:pt idx="12">
                  <c:v>8</c:v>
                </c:pt>
                <c:pt idx="13">
                  <c:v>4</c:v>
                </c:pt>
                <c:pt idx="14">
                  <c:v>0</c:v>
                </c:pt>
              </c:numCache>
            </c:numRef>
          </c:val>
          <c:extLst>
            <c:ext xmlns:c16="http://schemas.microsoft.com/office/drawing/2014/chart" uri="{C3380CC4-5D6E-409C-BE32-E72D297353CC}">
              <c16:uniqueId val="{00000002-638E-4960-8DCC-AC2CC5D249F1}"/>
            </c:ext>
          </c:extLst>
        </c:ser>
        <c:dLbls>
          <c:showLegendKey val="0"/>
          <c:showVal val="0"/>
          <c:showCatName val="0"/>
          <c:showSerName val="0"/>
          <c:showPercent val="0"/>
          <c:showBubbleSize val="0"/>
        </c:dLbls>
        <c:gapWidth val="219"/>
        <c:overlap val="-27"/>
        <c:axId val="408552704"/>
        <c:axId val="408548112"/>
      </c:barChart>
      <c:lineChart>
        <c:grouping val="standard"/>
        <c:varyColors val="0"/>
        <c:ser>
          <c:idx val="3"/>
          <c:order val="3"/>
          <c:tx>
            <c:strRef>
              <c:f>'Ark1'!$AL$85</c:f>
              <c:strCache>
                <c:ptCount val="1"/>
                <c:pt idx="0">
                  <c:v>Sum</c:v>
                </c:pt>
              </c:strCache>
            </c:strRef>
          </c:tx>
          <c:spPr>
            <a:ln w="28575" cap="rnd">
              <a:solidFill>
                <a:schemeClr val="accent4"/>
              </a:solidFill>
              <a:round/>
            </a:ln>
            <a:effectLst/>
          </c:spPr>
          <c:marker>
            <c:symbol val="none"/>
          </c:marker>
          <c:cat>
            <c:strRef>
              <c:f>'Ark1'!$AH$86:$AH$100</c:f>
              <c:strCache>
                <c:ptCount val="15"/>
                <c:pt idx="0">
                  <c:v>0-5 år</c:v>
                </c:pt>
                <c:pt idx="1">
                  <c:v>6-16 år</c:v>
                </c:pt>
                <c:pt idx="2">
                  <c:v>17-19 år</c:v>
                </c:pt>
                <c:pt idx="3">
                  <c:v>20-24 år</c:v>
                </c:pt>
                <c:pt idx="4">
                  <c:v>25-29 år</c:v>
                </c:pt>
                <c:pt idx="5">
                  <c:v>30-34 år</c:v>
                </c:pt>
                <c:pt idx="6">
                  <c:v>35-39 år</c:v>
                </c:pt>
                <c:pt idx="7">
                  <c:v>40-44 år</c:v>
                </c:pt>
                <c:pt idx="8">
                  <c:v>45-49 år</c:v>
                </c:pt>
                <c:pt idx="9">
                  <c:v>50-54 år</c:v>
                </c:pt>
                <c:pt idx="10">
                  <c:v>55-59 år</c:v>
                </c:pt>
                <c:pt idx="11">
                  <c:v>60-64 år</c:v>
                </c:pt>
                <c:pt idx="12">
                  <c:v>65-74 år</c:v>
                </c:pt>
                <c:pt idx="13">
                  <c:v>75-84 år</c:v>
                </c:pt>
                <c:pt idx="14">
                  <c:v>85 + år</c:v>
                </c:pt>
              </c:strCache>
            </c:strRef>
          </c:cat>
          <c:val>
            <c:numRef>
              <c:f>'Ark1'!$AL$86:$AL$100</c:f>
              <c:numCache>
                <c:formatCode>General</c:formatCode>
                <c:ptCount val="15"/>
                <c:pt idx="0">
                  <c:v>15</c:v>
                </c:pt>
                <c:pt idx="1">
                  <c:v>26</c:v>
                </c:pt>
                <c:pt idx="2">
                  <c:v>41</c:v>
                </c:pt>
                <c:pt idx="3">
                  <c:v>51</c:v>
                </c:pt>
                <c:pt idx="4">
                  <c:v>23</c:v>
                </c:pt>
                <c:pt idx="5">
                  <c:v>74</c:v>
                </c:pt>
                <c:pt idx="6">
                  <c:v>7</c:v>
                </c:pt>
                <c:pt idx="7">
                  <c:v>19</c:v>
                </c:pt>
                <c:pt idx="8">
                  <c:v>26</c:v>
                </c:pt>
                <c:pt idx="9">
                  <c:v>39</c:v>
                </c:pt>
                <c:pt idx="10">
                  <c:v>36</c:v>
                </c:pt>
                <c:pt idx="11">
                  <c:v>19</c:v>
                </c:pt>
                <c:pt idx="12">
                  <c:v>33</c:v>
                </c:pt>
                <c:pt idx="13">
                  <c:v>52</c:v>
                </c:pt>
                <c:pt idx="14">
                  <c:v>1</c:v>
                </c:pt>
              </c:numCache>
            </c:numRef>
          </c:val>
          <c:smooth val="0"/>
          <c:extLst>
            <c:ext xmlns:c16="http://schemas.microsoft.com/office/drawing/2014/chart" uri="{C3380CC4-5D6E-409C-BE32-E72D297353CC}">
              <c16:uniqueId val="{00000003-638E-4960-8DCC-AC2CC5D249F1}"/>
            </c:ext>
          </c:extLst>
        </c:ser>
        <c:dLbls>
          <c:showLegendKey val="0"/>
          <c:showVal val="0"/>
          <c:showCatName val="0"/>
          <c:showSerName val="0"/>
          <c:showPercent val="0"/>
          <c:showBubbleSize val="0"/>
        </c:dLbls>
        <c:marker val="1"/>
        <c:smooth val="0"/>
        <c:axId val="408552704"/>
        <c:axId val="408548112"/>
      </c:lineChart>
      <c:catAx>
        <c:axId val="40855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08548112"/>
        <c:crosses val="autoZero"/>
        <c:auto val="1"/>
        <c:lblAlgn val="ctr"/>
        <c:lblOffset val="100"/>
        <c:noMultiLvlLbl val="0"/>
      </c:catAx>
      <c:valAx>
        <c:axId val="408548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08552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sz="1800" b="1" i="0" cap="all" baseline="0">
                <a:effectLst/>
              </a:rPr>
              <a:t>Alder på FRAflyttere 2019-2021</a:t>
            </a:r>
            <a:endParaRPr lang="da-DK">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clustered"/>
        <c:varyColors val="0"/>
        <c:ser>
          <c:idx val="0"/>
          <c:order val="0"/>
          <c:tx>
            <c:strRef>
              <c:f>'Ark1'!$AI$128</c:f>
              <c:strCache>
                <c:ptCount val="1"/>
                <c:pt idx="0">
                  <c:v>Fraflyttere 2021</c:v>
                </c:pt>
              </c:strCache>
            </c:strRef>
          </c:tx>
          <c:spPr>
            <a:solidFill>
              <a:schemeClr val="accent1"/>
            </a:solidFill>
            <a:ln>
              <a:noFill/>
            </a:ln>
            <a:effectLst/>
          </c:spPr>
          <c:invertIfNegative val="0"/>
          <c:cat>
            <c:strRef>
              <c:f>'Ark1'!$AH$129:$AH$143</c:f>
              <c:strCache>
                <c:ptCount val="15"/>
                <c:pt idx="0">
                  <c:v>0-5 år</c:v>
                </c:pt>
                <c:pt idx="1">
                  <c:v>6-16 år</c:v>
                </c:pt>
                <c:pt idx="2">
                  <c:v>17-19 år</c:v>
                </c:pt>
                <c:pt idx="3">
                  <c:v>20-24 år</c:v>
                </c:pt>
                <c:pt idx="4">
                  <c:v>25-29 år</c:v>
                </c:pt>
                <c:pt idx="5">
                  <c:v>30-34 år</c:v>
                </c:pt>
                <c:pt idx="6">
                  <c:v>35-39 år</c:v>
                </c:pt>
                <c:pt idx="7">
                  <c:v>40-44 år</c:v>
                </c:pt>
                <c:pt idx="8">
                  <c:v>45-49 år</c:v>
                </c:pt>
                <c:pt idx="9">
                  <c:v>50-54 år</c:v>
                </c:pt>
                <c:pt idx="10">
                  <c:v>55-59 år</c:v>
                </c:pt>
                <c:pt idx="11">
                  <c:v>60-64 år</c:v>
                </c:pt>
                <c:pt idx="12">
                  <c:v>65-74 år</c:v>
                </c:pt>
                <c:pt idx="13">
                  <c:v>75-84 år</c:v>
                </c:pt>
                <c:pt idx="14">
                  <c:v>85 + år</c:v>
                </c:pt>
              </c:strCache>
            </c:strRef>
          </c:cat>
          <c:val>
            <c:numRef>
              <c:f>'Ark1'!$AI$129:$AI$143</c:f>
              <c:numCache>
                <c:formatCode>General</c:formatCode>
                <c:ptCount val="15"/>
                <c:pt idx="0">
                  <c:v>4</c:v>
                </c:pt>
                <c:pt idx="1">
                  <c:v>12</c:v>
                </c:pt>
                <c:pt idx="2">
                  <c:v>8</c:v>
                </c:pt>
                <c:pt idx="3">
                  <c:v>12</c:v>
                </c:pt>
                <c:pt idx="4">
                  <c:v>6</c:v>
                </c:pt>
                <c:pt idx="5">
                  <c:v>7</c:v>
                </c:pt>
                <c:pt idx="6">
                  <c:v>4</c:v>
                </c:pt>
                <c:pt idx="7">
                  <c:v>6</c:v>
                </c:pt>
                <c:pt idx="8">
                  <c:v>11</c:v>
                </c:pt>
                <c:pt idx="9">
                  <c:v>11</c:v>
                </c:pt>
                <c:pt idx="10">
                  <c:v>6</c:v>
                </c:pt>
                <c:pt idx="11">
                  <c:v>10</c:v>
                </c:pt>
                <c:pt idx="12">
                  <c:v>9</c:v>
                </c:pt>
                <c:pt idx="13">
                  <c:v>6</c:v>
                </c:pt>
                <c:pt idx="14">
                  <c:v>1</c:v>
                </c:pt>
              </c:numCache>
            </c:numRef>
          </c:val>
          <c:extLst>
            <c:ext xmlns:c16="http://schemas.microsoft.com/office/drawing/2014/chart" uri="{C3380CC4-5D6E-409C-BE32-E72D297353CC}">
              <c16:uniqueId val="{00000000-ECBD-447F-BFAB-2EBBFFF67C6F}"/>
            </c:ext>
          </c:extLst>
        </c:ser>
        <c:ser>
          <c:idx val="1"/>
          <c:order val="1"/>
          <c:tx>
            <c:strRef>
              <c:f>'Ark1'!$AJ$128</c:f>
              <c:strCache>
                <c:ptCount val="1"/>
                <c:pt idx="0">
                  <c:v>Fraflyttere 2020</c:v>
                </c:pt>
              </c:strCache>
            </c:strRef>
          </c:tx>
          <c:spPr>
            <a:solidFill>
              <a:schemeClr val="accent2"/>
            </a:solidFill>
            <a:ln>
              <a:noFill/>
            </a:ln>
            <a:effectLst/>
          </c:spPr>
          <c:invertIfNegative val="0"/>
          <c:cat>
            <c:strRef>
              <c:f>'Ark1'!$AH$129:$AH$143</c:f>
              <c:strCache>
                <c:ptCount val="15"/>
                <c:pt idx="0">
                  <c:v>0-5 år</c:v>
                </c:pt>
                <c:pt idx="1">
                  <c:v>6-16 år</c:v>
                </c:pt>
                <c:pt idx="2">
                  <c:v>17-19 år</c:v>
                </c:pt>
                <c:pt idx="3">
                  <c:v>20-24 år</c:v>
                </c:pt>
                <c:pt idx="4">
                  <c:v>25-29 år</c:v>
                </c:pt>
                <c:pt idx="5">
                  <c:v>30-34 år</c:v>
                </c:pt>
                <c:pt idx="6">
                  <c:v>35-39 år</c:v>
                </c:pt>
                <c:pt idx="7">
                  <c:v>40-44 år</c:v>
                </c:pt>
                <c:pt idx="8">
                  <c:v>45-49 år</c:v>
                </c:pt>
                <c:pt idx="9">
                  <c:v>50-54 år</c:v>
                </c:pt>
                <c:pt idx="10">
                  <c:v>55-59 år</c:v>
                </c:pt>
                <c:pt idx="11">
                  <c:v>60-64 år</c:v>
                </c:pt>
                <c:pt idx="12">
                  <c:v>65-74 år</c:v>
                </c:pt>
                <c:pt idx="13">
                  <c:v>75-84 år</c:v>
                </c:pt>
                <c:pt idx="14">
                  <c:v>85 + år</c:v>
                </c:pt>
              </c:strCache>
            </c:strRef>
          </c:cat>
          <c:val>
            <c:numRef>
              <c:f>'Ark1'!$AJ$129:$AJ$143</c:f>
              <c:numCache>
                <c:formatCode>General</c:formatCode>
                <c:ptCount val="15"/>
                <c:pt idx="0">
                  <c:v>2</c:v>
                </c:pt>
                <c:pt idx="1">
                  <c:v>7</c:v>
                </c:pt>
                <c:pt idx="2">
                  <c:v>7</c:v>
                </c:pt>
                <c:pt idx="3">
                  <c:v>17</c:v>
                </c:pt>
                <c:pt idx="4">
                  <c:v>4</c:v>
                </c:pt>
                <c:pt idx="5">
                  <c:v>4</c:v>
                </c:pt>
                <c:pt idx="6">
                  <c:v>2</c:v>
                </c:pt>
                <c:pt idx="7">
                  <c:v>2</c:v>
                </c:pt>
                <c:pt idx="8">
                  <c:v>2</c:v>
                </c:pt>
                <c:pt idx="9">
                  <c:v>2</c:v>
                </c:pt>
                <c:pt idx="10">
                  <c:v>4</c:v>
                </c:pt>
                <c:pt idx="11">
                  <c:v>4</c:v>
                </c:pt>
                <c:pt idx="12">
                  <c:v>14</c:v>
                </c:pt>
                <c:pt idx="13">
                  <c:v>1</c:v>
                </c:pt>
              </c:numCache>
            </c:numRef>
          </c:val>
          <c:extLst>
            <c:ext xmlns:c16="http://schemas.microsoft.com/office/drawing/2014/chart" uri="{C3380CC4-5D6E-409C-BE32-E72D297353CC}">
              <c16:uniqueId val="{00000001-ECBD-447F-BFAB-2EBBFFF67C6F}"/>
            </c:ext>
          </c:extLst>
        </c:ser>
        <c:ser>
          <c:idx val="2"/>
          <c:order val="2"/>
          <c:tx>
            <c:strRef>
              <c:f>'Ark1'!$AK$128</c:f>
              <c:strCache>
                <c:ptCount val="1"/>
                <c:pt idx="0">
                  <c:v>Fraflyttere 2019</c:v>
                </c:pt>
              </c:strCache>
            </c:strRef>
          </c:tx>
          <c:spPr>
            <a:solidFill>
              <a:schemeClr val="accent3"/>
            </a:solidFill>
            <a:ln>
              <a:noFill/>
            </a:ln>
            <a:effectLst/>
          </c:spPr>
          <c:invertIfNegative val="0"/>
          <c:cat>
            <c:strRef>
              <c:f>'Ark1'!$AH$129:$AH$143</c:f>
              <c:strCache>
                <c:ptCount val="15"/>
                <c:pt idx="0">
                  <c:v>0-5 år</c:v>
                </c:pt>
                <c:pt idx="1">
                  <c:v>6-16 år</c:v>
                </c:pt>
                <c:pt idx="2">
                  <c:v>17-19 år</c:v>
                </c:pt>
                <c:pt idx="3">
                  <c:v>20-24 år</c:v>
                </c:pt>
                <c:pt idx="4">
                  <c:v>25-29 år</c:v>
                </c:pt>
                <c:pt idx="5">
                  <c:v>30-34 år</c:v>
                </c:pt>
                <c:pt idx="6">
                  <c:v>35-39 år</c:v>
                </c:pt>
                <c:pt idx="7">
                  <c:v>40-44 år</c:v>
                </c:pt>
                <c:pt idx="8">
                  <c:v>45-49 år</c:v>
                </c:pt>
                <c:pt idx="9">
                  <c:v>50-54 år</c:v>
                </c:pt>
                <c:pt idx="10">
                  <c:v>55-59 år</c:v>
                </c:pt>
                <c:pt idx="11">
                  <c:v>60-64 år</c:v>
                </c:pt>
                <c:pt idx="12">
                  <c:v>65-74 år</c:v>
                </c:pt>
                <c:pt idx="13">
                  <c:v>75-84 år</c:v>
                </c:pt>
                <c:pt idx="14">
                  <c:v>85 + år</c:v>
                </c:pt>
              </c:strCache>
            </c:strRef>
          </c:cat>
          <c:val>
            <c:numRef>
              <c:f>'Ark1'!$AK$129:$AK$143</c:f>
              <c:numCache>
                <c:formatCode>General</c:formatCode>
                <c:ptCount val="15"/>
                <c:pt idx="0">
                  <c:v>4</c:v>
                </c:pt>
                <c:pt idx="1">
                  <c:v>13</c:v>
                </c:pt>
                <c:pt idx="2">
                  <c:v>12</c:v>
                </c:pt>
                <c:pt idx="3">
                  <c:v>15</c:v>
                </c:pt>
                <c:pt idx="4">
                  <c:v>9</c:v>
                </c:pt>
                <c:pt idx="5">
                  <c:v>4</c:v>
                </c:pt>
                <c:pt idx="6">
                  <c:v>3</c:v>
                </c:pt>
                <c:pt idx="7">
                  <c:v>11</c:v>
                </c:pt>
                <c:pt idx="8">
                  <c:v>7</c:v>
                </c:pt>
                <c:pt idx="9">
                  <c:v>9</c:v>
                </c:pt>
                <c:pt idx="10">
                  <c:v>9</c:v>
                </c:pt>
                <c:pt idx="11">
                  <c:v>3</c:v>
                </c:pt>
                <c:pt idx="12">
                  <c:v>6</c:v>
                </c:pt>
                <c:pt idx="13">
                  <c:v>3</c:v>
                </c:pt>
                <c:pt idx="14">
                  <c:v>1</c:v>
                </c:pt>
              </c:numCache>
            </c:numRef>
          </c:val>
          <c:extLst>
            <c:ext xmlns:c16="http://schemas.microsoft.com/office/drawing/2014/chart" uri="{C3380CC4-5D6E-409C-BE32-E72D297353CC}">
              <c16:uniqueId val="{00000002-ECBD-447F-BFAB-2EBBFFF67C6F}"/>
            </c:ext>
          </c:extLst>
        </c:ser>
        <c:dLbls>
          <c:showLegendKey val="0"/>
          <c:showVal val="0"/>
          <c:showCatName val="0"/>
          <c:showSerName val="0"/>
          <c:showPercent val="0"/>
          <c:showBubbleSize val="0"/>
        </c:dLbls>
        <c:gapWidth val="219"/>
        <c:overlap val="-27"/>
        <c:axId val="674004144"/>
        <c:axId val="674005784"/>
      </c:barChart>
      <c:lineChart>
        <c:grouping val="standard"/>
        <c:varyColors val="0"/>
        <c:ser>
          <c:idx val="3"/>
          <c:order val="3"/>
          <c:tx>
            <c:strRef>
              <c:f>'Ark1'!$AL$128</c:f>
              <c:strCache>
                <c:ptCount val="1"/>
                <c:pt idx="0">
                  <c:v>Sum</c:v>
                </c:pt>
              </c:strCache>
            </c:strRef>
          </c:tx>
          <c:spPr>
            <a:ln w="28575" cap="rnd">
              <a:solidFill>
                <a:schemeClr val="accent4"/>
              </a:solidFill>
              <a:round/>
            </a:ln>
            <a:effectLst/>
          </c:spPr>
          <c:marker>
            <c:symbol val="none"/>
          </c:marker>
          <c:cat>
            <c:strRef>
              <c:f>'Ark1'!$AH$129:$AH$143</c:f>
              <c:strCache>
                <c:ptCount val="15"/>
                <c:pt idx="0">
                  <c:v>0-5 år</c:v>
                </c:pt>
                <c:pt idx="1">
                  <c:v>6-16 år</c:v>
                </c:pt>
                <c:pt idx="2">
                  <c:v>17-19 år</c:v>
                </c:pt>
                <c:pt idx="3">
                  <c:v>20-24 år</c:v>
                </c:pt>
                <c:pt idx="4">
                  <c:v>25-29 år</c:v>
                </c:pt>
                <c:pt idx="5">
                  <c:v>30-34 år</c:v>
                </c:pt>
                <c:pt idx="6">
                  <c:v>35-39 år</c:v>
                </c:pt>
                <c:pt idx="7">
                  <c:v>40-44 år</c:v>
                </c:pt>
                <c:pt idx="8">
                  <c:v>45-49 år</c:v>
                </c:pt>
                <c:pt idx="9">
                  <c:v>50-54 år</c:v>
                </c:pt>
                <c:pt idx="10">
                  <c:v>55-59 år</c:v>
                </c:pt>
                <c:pt idx="11">
                  <c:v>60-64 år</c:v>
                </c:pt>
                <c:pt idx="12">
                  <c:v>65-74 år</c:v>
                </c:pt>
                <c:pt idx="13">
                  <c:v>75-84 år</c:v>
                </c:pt>
                <c:pt idx="14">
                  <c:v>85 + år</c:v>
                </c:pt>
              </c:strCache>
            </c:strRef>
          </c:cat>
          <c:val>
            <c:numRef>
              <c:f>'Ark1'!$AL$129:$AL$143</c:f>
              <c:numCache>
                <c:formatCode>General</c:formatCode>
                <c:ptCount val="15"/>
                <c:pt idx="0">
                  <c:v>10</c:v>
                </c:pt>
                <c:pt idx="1">
                  <c:v>32</c:v>
                </c:pt>
                <c:pt idx="2">
                  <c:v>27</c:v>
                </c:pt>
                <c:pt idx="3">
                  <c:v>44</c:v>
                </c:pt>
                <c:pt idx="4">
                  <c:v>19</c:v>
                </c:pt>
                <c:pt idx="5">
                  <c:v>15</c:v>
                </c:pt>
                <c:pt idx="6">
                  <c:v>9</c:v>
                </c:pt>
                <c:pt idx="7">
                  <c:v>19</c:v>
                </c:pt>
                <c:pt idx="8">
                  <c:v>20</c:v>
                </c:pt>
                <c:pt idx="9">
                  <c:v>22</c:v>
                </c:pt>
                <c:pt idx="10">
                  <c:v>19</c:v>
                </c:pt>
                <c:pt idx="11">
                  <c:v>17</c:v>
                </c:pt>
                <c:pt idx="12">
                  <c:v>29</c:v>
                </c:pt>
                <c:pt idx="13">
                  <c:v>10</c:v>
                </c:pt>
                <c:pt idx="14">
                  <c:v>2</c:v>
                </c:pt>
              </c:numCache>
            </c:numRef>
          </c:val>
          <c:smooth val="0"/>
          <c:extLst>
            <c:ext xmlns:c16="http://schemas.microsoft.com/office/drawing/2014/chart" uri="{C3380CC4-5D6E-409C-BE32-E72D297353CC}">
              <c16:uniqueId val="{00000003-ECBD-447F-BFAB-2EBBFFF67C6F}"/>
            </c:ext>
          </c:extLst>
        </c:ser>
        <c:dLbls>
          <c:showLegendKey val="0"/>
          <c:showVal val="0"/>
          <c:showCatName val="0"/>
          <c:showSerName val="0"/>
          <c:showPercent val="0"/>
          <c:showBubbleSize val="0"/>
        </c:dLbls>
        <c:marker val="1"/>
        <c:smooth val="0"/>
        <c:axId val="674004144"/>
        <c:axId val="674005784"/>
      </c:lineChart>
      <c:catAx>
        <c:axId val="674004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74005784"/>
        <c:crosses val="autoZero"/>
        <c:auto val="1"/>
        <c:lblAlgn val="ctr"/>
        <c:lblOffset val="100"/>
        <c:noMultiLvlLbl val="0"/>
      </c:catAx>
      <c:valAx>
        <c:axId val="674005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74004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da-DK"/>
              <a:t>Befolkningstalsudvikling i Læsø Kommune 2018-2021</a:t>
            </a:r>
          </a:p>
        </c:rich>
      </c:tx>
      <c:layout>
        <c:manualLayout>
          <c:xMode val="edge"/>
          <c:yMode val="edge"/>
          <c:x val="8.6902668416447934E-2"/>
          <c:y val="9.2592592592592587E-3"/>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da-DK"/>
        </a:p>
      </c:txPr>
    </c:title>
    <c:autoTitleDeleted val="0"/>
    <c:plotArea>
      <c:layout/>
      <c:barChart>
        <c:barDir val="col"/>
        <c:grouping val="clustered"/>
        <c:varyColors val="0"/>
        <c:ser>
          <c:idx val="0"/>
          <c:order val="0"/>
          <c:tx>
            <c:strRef>
              <c:f>'Ark1'!$AG$50</c:f>
              <c:strCache>
                <c:ptCount val="1"/>
                <c:pt idx="0">
                  <c:v>2018</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'Ark1'!$AH$49:$AS$49</c:f>
              <c:strCache>
                <c:ptCount val="12"/>
                <c:pt idx="0">
                  <c:v>Jan.</c:v>
                </c:pt>
                <c:pt idx="1">
                  <c:v>Feb.</c:v>
                </c:pt>
                <c:pt idx="2">
                  <c:v>Marts</c:v>
                </c:pt>
                <c:pt idx="3">
                  <c:v>April</c:v>
                </c:pt>
                <c:pt idx="4">
                  <c:v>Maj</c:v>
                </c:pt>
                <c:pt idx="5">
                  <c:v>Juni</c:v>
                </c:pt>
                <c:pt idx="6">
                  <c:v>Juli</c:v>
                </c:pt>
                <c:pt idx="7">
                  <c:v>Aug.</c:v>
                </c:pt>
                <c:pt idx="8">
                  <c:v>Sept.</c:v>
                </c:pt>
                <c:pt idx="9">
                  <c:v>Okt.</c:v>
                </c:pt>
                <c:pt idx="10">
                  <c:v>Nov.</c:v>
                </c:pt>
                <c:pt idx="11">
                  <c:v>Dec.</c:v>
                </c:pt>
              </c:strCache>
            </c:strRef>
          </c:cat>
          <c:val>
            <c:numRef>
              <c:f>'Ark1'!$AH$50:$AS$50</c:f>
              <c:numCache>
                <c:formatCode>General</c:formatCode>
                <c:ptCount val="12"/>
                <c:pt idx="0">
                  <c:v>1814</c:v>
                </c:pt>
                <c:pt idx="1">
                  <c:v>1809</c:v>
                </c:pt>
                <c:pt idx="2">
                  <c:v>1807</c:v>
                </c:pt>
                <c:pt idx="3">
                  <c:v>1809</c:v>
                </c:pt>
                <c:pt idx="4">
                  <c:v>1807</c:v>
                </c:pt>
                <c:pt idx="5">
                  <c:v>1807</c:v>
                </c:pt>
                <c:pt idx="6">
                  <c:v>1818</c:v>
                </c:pt>
                <c:pt idx="7">
                  <c:v>1813</c:v>
                </c:pt>
                <c:pt idx="8">
                  <c:v>1820</c:v>
                </c:pt>
                <c:pt idx="9">
                  <c:v>1820</c:v>
                </c:pt>
                <c:pt idx="10">
                  <c:v>1812</c:v>
                </c:pt>
                <c:pt idx="11">
                  <c:v>1804</c:v>
                </c:pt>
              </c:numCache>
            </c:numRef>
          </c:val>
          <c:extLst>
            <c:ext xmlns:c16="http://schemas.microsoft.com/office/drawing/2014/chart" uri="{C3380CC4-5D6E-409C-BE32-E72D297353CC}">
              <c16:uniqueId val="{00000000-0B93-48A1-9EA5-1C1FB4C9C9FB}"/>
            </c:ext>
          </c:extLst>
        </c:ser>
        <c:ser>
          <c:idx val="1"/>
          <c:order val="1"/>
          <c:tx>
            <c:strRef>
              <c:f>'Ark1'!$AG$51</c:f>
              <c:strCache>
                <c:ptCount val="1"/>
                <c:pt idx="0">
                  <c:v>2019</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Ref>
              <c:f>'Ark1'!$AH$49:$AS$49</c:f>
              <c:strCache>
                <c:ptCount val="12"/>
                <c:pt idx="0">
                  <c:v>Jan.</c:v>
                </c:pt>
                <c:pt idx="1">
                  <c:v>Feb.</c:v>
                </c:pt>
                <c:pt idx="2">
                  <c:v>Marts</c:v>
                </c:pt>
                <c:pt idx="3">
                  <c:v>April</c:v>
                </c:pt>
                <c:pt idx="4">
                  <c:v>Maj</c:v>
                </c:pt>
                <c:pt idx="5">
                  <c:v>Juni</c:v>
                </c:pt>
                <c:pt idx="6">
                  <c:v>Juli</c:v>
                </c:pt>
                <c:pt idx="7">
                  <c:v>Aug.</c:v>
                </c:pt>
                <c:pt idx="8">
                  <c:v>Sept.</c:v>
                </c:pt>
                <c:pt idx="9">
                  <c:v>Okt.</c:v>
                </c:pt>
                <c:pt idx="10">
                  <c:v>Nov.</c:v>
                </c:pt>
                <c:pt idx="11">
                  <c:v>Dec.</c:v>
                </c:pt>
              </c:strCache>
            </c:strRef>
          </c:cat>
          <c:val>
            <c:numRef>
              <c:f>'Ark1'!$AH$51:$AS$51</c:f>
              <c:numCache>
                <c:formatCode>General</c:formatCode>
                <c:ptCount val="12"/>
                <c:pt idx="0">
                  <c:v>1811</c:v>
                </c:pt>
                <c:pt idx="1">
                  <c:v>1820</c:v>
                </c:pt>
                <c:pt idx="2">
                  <c:v>1823</c:v>
                </c:pt>
                <c:pt idx="3">
                  <c:v>1818</c:v>
                </c:pt>
                <c:pt idx="4">
                  <c:v>1813</c:v>
                </c:pt>
                <c:pt idx="5">
                  <c:v>1818</c:v>
                </c:pt>
                <c:pt idx="6">
                  <c:v>1809</c:v>
                </c:pt>
                <c:pt idx="7">
                  <c:v>1807</c:v>
                </c:pt>
                <c:pt idx="8">
                  <c:v>1801</c:v>
                </c:pt>
                <c:pt idx="9">
                  <c:v>1805</c:v>
                </c:pt>
                <c:pt idx="10">
                  <c:v>1802</c:v>
                </c:pt>
                <c:pt idx="11">
                  <c:v>1793</c:v>
                </c:pt>
              </c:numCache>
            </c:numRef>
          </c:val>
          <c:extLst>
            <c:ext xmlns:c16="http://schemas.microsoft.com/office/drawing/2014/chart" uri="{C3380CC4-5D6E-409C-BE32-E72D297353CC}">
              <c16:uniqueId val="{00000001-0B93-48A1-9EA5-1C1FB4C9C9FB}"/>
            </c:ext>
          </c:extLst>
        </c:ser>
        <c:ser>
          <c:idx val="2"/>
          <c:order val="2"/>
          <c:tx>
            <c:strRef>
              <c:f>'Ark1'!$AG$52</c:f>
              <c:strCache>
                <c:ptCount val="1"/>
                <c:pt idx="0">
                  <c:v>2020</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cat>
            <c:strRef>
              <c:f>'Ark1'!$AH$49:$AS$49</c:f>
              <c:strCache>
                <c:ptCount val="12"/>
                <c:pt idx="0">
                  <c:v>Jan.</c:v>
                </c:pt>
                <c:pt idx="1">
                  <c:v>Feb.</c:v>
                </c:pt>
                <c:pt idx="2">
                  <c:v>Marts</c:v>
                </c:pt>
                <c:pt idx="3">
                  <c:v>April</c:v>
                </c:pt>
                <c:pt idx="4">
                  <c:v>Maj</c:v>
                </c:pt>
                <c:pt idx="5">
                  <c:v>Juni</c:v>
                </c:pt>
                <c:pt idx="6">
                  <c:v>Juli</c:v>
                </c:pt>
                <c:pt idx="7">
                  <c:v>Aug.</c:v>
                </c:pt>
                <c:pt idx="8">
                  <c:v>Sept.</c:v>
                </c:pt>
                <c:pt idx="9">
                  <c:v>Okt.</c:v>
                </c:pt>
                <c:pt idx="10">
                  <c:v>Nov.</c:v>
                </c:pt>
                <c:pt idx="11">
                  <c:v>Dec.</c:v>
                </c:pt>
              </c:strCache>
            </c:strRef>
          </c:cat>
          <c:val>
            <c:numRef>
              <c:f>'Ark1'!$AH$52:$AS$52</c:f>
              <c:numCache>
                <c:formatCode>General</c:formatCode>
                <c:ptCount val="12"/>
                <c:pt idx="0">
                  <c:v>1795</c:v>
                </c:pt>
                <c:pt idx="1">
                  <c:v>1786</c:v>
                </c:pt>
                <c:pt idx="2">
                  <c:v>1795</c:v>
                </c:pt>
                <c:pt idx="3">
                  <c:v>1789</c:v>
                </c:pt>
                <c:pt idx="4">
                  <c:v>1789</c:v>
                </c:pt>
                <c:pt idx="5">
                  <c:v>1780</c:v>
                </c:pt>
                <c:pt idx="6">
                  <c:v>1784</c:v>
                </c:pt>
                <c:pt idx="7">
                  <c:v>1779</c:v>
                </c:pt>
                <c:pt idx="8">
                  <c:v>1772</c:v>
                </c:pt>
                <c:pt idx="9">
                  <c:v>1775</c:v>
                </c:pt>
                <c:pt idx="10">
                  <c:v>1772</c:v>
                </c:pt>
                <c:pt idx="11">
                  <c:v>1769</c:v>
                </c:pt>
              </c:numCache>
            </c:numRef>
          </c:val>
          <c:extLst>
            <c:ext xmlns:c16="http://schemas.microsoft.com/office/drawing/2014/chart" uri="{C3380CC4-5D6E-409C-BE32-E72D297353CC}">
              <c16:uniqueId val="{00000002-0B93-48A1-9EA5-1C1FB4C9C9FB}"/>
            </c:ext>
          </c:extLst>
        </c:ser>
        <c:ser>
          <c:idx val="3"/>
          <c:order val="3"/>
          <c:tx>
            <c:strRef>
              <c:f>'Ark1'!$AG$53</c:f>
              <c:strCache>
                <c:ptCount val="1"/>
                <c:pt idx="0">
                  <c:v>2021</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cat>
            <c:strRef>
              <c:f>'Ark1'!$AH$49:$AS$49</c:f>
              <c:strCache>
                <c:ptCount val="12"/>
                <c:pt idx="0">
                  <c:v>Jan.</c:v>
                </c:pt>
                <c:pt idx="1">
                  <c:v>Feb.</c:v>
                </c:pt>
                <c:pt idx="2">
                  <c:v>Marts</c:v>
                </c:pt>
                <c:pt idx="3">
                  <c:v>April</c:v>
                </c:pt>
                <c:pt idx="4">
                  <c:v>Maj</c:v>
                </c:pt>
                <c:pt idx="5">
                  <c:v>Juni</c:v>
                </c:pt>
                <c:pt idx="6">
                  <c:v>Juli</c:v>
                </c:pt>
                <c:pt idx="7">
                  <c:v>Aug.</c:v>
                </c:pt>
                <c:pt idx="8">
                  <c:v>Sept.</c:v>
                </c:pt>
                <c:pt idx="9">
                  <c:v>Okt.</c:v>
                </c:pt>
                <c:pt idx="10">
                  <c:v>Nov.</c:v>
                </c:pt>
                <c:pt idx="11">
                  <c:v>Dec.</c:v>
                </c:pt>
              </c:strCache>
            </c:strRef>
          </c:cat>
          <c:val>
            <c:numRef>
              <c:f>'Ark1'!$AH$53:$AS$53</c:f>
              <c:numCache>
                <c:formatCode>General</c:formatCode>
                <c:ptCount val="12"/>
                <c:pt idx="0">
                  <c:v>1776</c:v>
                </c:pt>
                <c:pt idx="1">
                  <c:v>1777</c:v>
                </c:pt>
                <c:pt idx="2">
                  <c:v>1782</c:v>
                </c:pt>
                <c:pt idx="3">
                  <c:v>1785</c:v>
                </c:pt>
                <c:pt idx="4">
                  <c:v>1784</c:v>
                </c:pt>
                <c:pt idx="5">
                  <c:v>1787</c:v>
                </c:pt>
                <c:pt idx="6">
                  <c:v>1791</c:v>
                </c:pt>
                <c:pt idx="7">
                  <c:v>1794</c:v>
                </c:pt>
                <c:pt idx="8">
                  <c:v>1801</c:v>
                </c:pt>
                <c:pt idx="9">
                  <c:v>1783</c:v>
                </c:pt>
                <c:pt idx="10">
                  <c:v>1780</c:v>
                </c:pt>
                <c:pt idx="11">
                  <c:v>1776</c:v>
                </c:pt>
              </c:numCache>
            </c:numRef>
          </c:val>
          <c:extLst>
            <c:ext xmlns:c16="http://schemas.microsoft.com/office/drawing/2014/chart" uri="{C3380CC4-5D6E-409C-BE32-E72D297353CC}">
              <c16:uniqueId val="{00000003-0B93-48A1-9EA5-1C1FB4C9C9FB}"/>
            </c:ext>
          </c:extLst>
        </c:ser>
        <c:dLbls>
          <c:showLegendKey val="0"/>
          <c:showVal val="0"/>
          <c:showCatName val="0"/>
          <c:showSerName val="0"/>
          <c:showPercent val="0"/>
          <c:showBubbleSize val="0"/>
        </c:dLbls>
        <c:gapWidth val="164"/>
        <c:overlap val="-22"/>
        <c:axId val="620297288"/>
        <c:axId val="620296632"/>
      </c:barChart>
      <c:catAx>
        <c:axId val="62029728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20296632"/>
        <c:crosses val="autoZero"/>
        <c:auto val="1"/>
        <c:lblAlgn val="ctr"/>
        <c:lblOffset val="100"/>
        <c:noMultiLvlLbl val="0"/>
      </c:catAx>
      <c:valAx>
        <c:axId val="6202966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6202972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36C38-4D8A-4A6F-80A6-1CA42D52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1105</Words>
  <Characters>6744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Stina Andersen</dc:creator>
  <cp:lastModifiedBy>Stina Andersen</cp:lastModifiedBy>
  <cp:revision>2</cp:revision>
  <cp:lastPrinted>2022-01-13T11:33:00Z</cp:lastPrinted>
  <dcterms:created xsi:type="dcterms:W3CDTF">2022-01-14T09:15:00Z</dcterms:created>
  <dcterms:modified xsi:type="dcterms:W3CDTF">2022-01-14T09:15:00Z</dcterms:modified>
</cp:coreProperties>
</file>